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26" w:rsidRDefault="00BC5C26" w:rsidP="00BC5C26">
      <w:pPr>
        <w:rPr>
          <w:b/>
          <w:sz w:val="28"/>
          <w:szCs w:val="28"/>
        </w:rPr>
      </w:pPr>
      <w:r>
        <w:rPr>
          <w:noProof/>
          <w:sz w:val="24"/>
          <w:szCs w:val="24"/>
          <w:lang w:eastAsia="hr-HR"/>
        </w:rPr>
        <w:drawing>
          <wp:anchor distT="0" distB="0" distL="114300" distR="114300" simplePos="0" relativeHeight="251659264" behindDoc="0" locked="0" layoutInCell="1" allowOverlap="1" wp14:anchorId="069DD95B" wp14:editId="70A83EDD">
            <wp:simplePos x="0" y="0"/>
            <wp:positionH relativeFrom="margin">
              <wp:posOffset>2604135</wp:posOffset>
            </wp:positionH>
            <wp:positionV relativeFrom="paragraph">
              <wp:posOffset>-100275</wp:posOffset>
            </wp:positionV>
            <wp:extent cx="552450" cy="369133"/>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369133"/>
                    </a:xfrm>
                    <a:prstGeom prst="rect">
                      <a:avLst/>
                    </a:prstGeom>
                    <a:noFill/>
                  </pic:spPr>
                </pic:pic>
              </a:graphicData>
            </a:graphic>
            <wp14:sizeRelH relativeFrom="page">
              <wp14:pctWidth>0</wp14:pctWidth>
            </wp14:sizeRelH>
            <wp14:sizeRelV relativeFrom="page">
              <wp14:pctHeight>0</wp14:pctHeight>
            </wp14:sizeRelV>
          </wp:anchor>
        </w:drawing>
      </w:r>
    </w:p>
    <w:p w:rsidR="00BC5C26" w:rsidRPr="00DE584A" w:rsidRDefault="00BC5C26" w:rsidP="00BC5C26">
      <w:pPr>
        <w:pStyle w:val="Zaglavlje"/>
        <w:jc w:val="center"/>
      </w:pPr>
      <w:r>
        <w:rPr>
          <w:rFonts w:ascii="Arial" w:eastAsia="Calibri" w:hAnsi="Arial" w:cs="Arial"/>
          <w:b/>
          <w:color w:val="2E74B5"/>
          <w:sz w:val="20"/>
          <w:szCs w:val="20"/>
        </w:rPr>
        <w:t>Fondovi za unutarnje poslove</w:t>
      </w:r>
    </w:p>
    <w:p w:rsidR="00BC5C26" w:rsidRDefault="00BC5C26" w:rsidP="00BC5C26">
      <w:pPr>
        <w:tabs>
          <w:tab w:val="left" w:pos="4057"/>
        </w:tabs>
        <w:rPr>
          <w:b/>
          <w:sz w:val="28"/>
          <w:szCs w:val="28"/>
        </w:rPr>
      </w:pPr>
    </w:p>
    <w:p w:rsidR="00BC5C26" w:rsidRDefault="00BC5C26" w:rsidP="00BC5C26">
      <w:pPr>
        <w:jc w:val="center"/>
        <w:rPr>
          <w:b/>
          <w:sz w:val="28"/>
          <w:szCs w:val="28"/>
        </w:rPr>
      </w:pPr>
    </w:p>
    <w:p w:rsidR="00BC5C26" w:rsidRDefault="00BC5C26" w:rsidP="00BC5C26">
      <w:pPr>
        <w:jc w:val="center"/>
        <w:rPr>
          <w:b/>
          <w:sz w:val="40"/>
          <w:szCs w:val="40"/>
        </w:rPr>
      </w:pPr>
    </w:p>
    <w:p w:rsidR="00BC5C26" w:rsidRPr="00DE584A" w:rsidRDefault="00BC5C26" w:rsidP="00BC5C26">
      <w:pPr>
        <w:jc w:val="center"/>
        <w:rPr>
          <w:b/>
          <w:sz w:val="40"/>
          <w:szCs w:val="40"/>
        </w:rPr>
      </w:pPr>
    </w:p>
    <w:p w:rsidR="00BC5C26" w:rsidRPr="00A62826" w:rsidRDefault="00BC5C26" w:rsidP="00BC5C26">
      <w:pPr>
        <w:jc w:val="center"/>
        <w:rPr>
          <w:b/>
          <w:sz w:val="40"/>
          <w:szCs w:val="40"/>
        </w:rPr>
      </w:pPr>
      <w:r w:rsidRPr="00A62826">
        <w:rPr>
          <w:b/>
          <w:sz w:val="40"/>
          <w:szCs w:val="40"/>
        </w:rPr>
        <w:t xml:space="preserve">METODOLOGIJA IZRAČUNA I PRIZNAVANJA PRIHVATLJIVIH TROŠKOVA GORIVA ZA SLUŽBENA PUTOVANJA UPOTREBOM </w:t>
      </w:r>
      <w:r w:rsidR="00ED38A4">
        <w:rPr>
          <w:b/>
          <w:sz w:val="40"/>
          <w:szCs w:val="40"/>
        </w:rPr>
        <w:t>JEDINIČNIH</w:t>
      </w:r>
      <w:r w:rsidRPr="00A62826">
        <w:rPr>
          <w:b/>
          <w:sz w:val="40"/>
          <w:szCs w:val="40"/>
        </w:rPr>
        <w:t xml:space="preserve"> TROŠKOVA</w:t>
      </w:r>
      <w:r>
        <w:rPr>
          <w:b/>
          <w:sz w:val="40"/>
          <w:szCs w:val="40"/>
        </w:rPr>
        <w:t xml:space="preserve"> </w:t>
      </w:r>
      <w:r w:rsidRPr="00A62826">
        <w:rPr>
          <w:b/>
          <w:sz w:val="40"/>
          <w:szCs w:val="40"/>
        </w:rPr>
        <w:t>(SIMPLIFIED COST OPTIONS)</w:t>
      </w:r>
    </w:p>
    <w:p w:rsidR="00BC5C26" w:rsidRDefault="00BC5C26" w:rsidP="00BC5C26">
      <w:pPr>
        <w:jc w:val="center"/>
        <w:rPr>
          <w:b/>
          <w:sz w:val="40"/>
          <w:szCs w:val="40"/>
        </w:rPr>
      </w:pPr>
    </w:p>
    <w:p w:rsidR="00A729EE" w:rsidRDefault="00BC5C26" w:rsidP="00BC5C26">
      <w:pPr>
        <w:jc w:val="center"/>
        <w:rPr>
          <w:b/>
          <w:sz w:val="24"/>
          <w:szCs w:val="24"/>
        </w:rPr>
      </w:pPr>
      <w:r w:rsidRPr="00DE584A">
        <w:rPr>
          <w:b/>
          <w:sz w:val="24"/>
          <w:szCs w:val="24"/>
        </w:rPr>
        <w:t>ZA FO</w:t>
      </w:r>
      <w:r>
        <w:rPr>
          <w:b/>
          <w:sz w:val="24"/>
          <w:szCs w:val="24"/>
        </w:rPr>
        <w:t xml:space="preserve">NDOVE ZA UNUTARNJE POSLOVE </w:t>
      </w:r>
    </w:p>
    <w:p w:rsidR="00BC5C26" w:rsidRPr="00DE584A" w:rsidRDefault="00BC5C26" w:rsidP="00BC5C26">
      <w:pPr>
        <w:jc w:val="center"/>
        <w:rPr>
          <w:b/>
          <w:sz w:val="24"/>
          <w:szCs w:val="24"/>
        </w:rPr>
      </w:pPr>
      <w:r w:rsidRPr="00DE584A">
        <w:rPr>
          <w:b/>
          <w:sz w:val="24"/>
          <w:szCs w:val="24"/>
        </w:rPr>
        <w:t xml:space="preserve">U VIŠEGODIŠNJEM FINANCIJSKOM OKVIRU </w:t>
      </w:r>
      <w:r>
        <w:rPr>
          <w:b/>
          <w:sz w:val="24"/>
          <w:szCs w:val="24"/>
        </w:rPr>
        <w:t>2021. -2027.</w:t>
      </w:r>
    </w:p>
    <w:p w:rsidR="00BC5C26" w:rsidRPr="00744CEA" w:rsidRDefault="00BC5C26" w:rsidP="00BC5C26">
      <w:pPr>
        <w:jc w:val="center"/>
        <w:rPr>
          <w:b/>
          <w:sz w:val="28"/>
          <w:szCs w:val="28"/>
        </w:rPr>
      </w:pPr>
    </w:p>
    <w:p w:rsidR="00BC5C26" w:rsidRDefault="006A7AF8" w:rsidP="00BC5C26">
      <w:pPr>
        <w:jc w:val="center"/>
      </w:pPr>
      <w:r>
        <w:t>Verzija 1.</w:t>
      </w:r>
      <w:r w:rsidR="00F942CA">
        <w:t>3</w:t>
      </w:r>
      <w:r w:rsidR="00145315">
        <w:t>.</w:t>
      </w:r>
    </w:p>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Default="00BC5C26" w:rsidP="00BC5C26"/>
    <w:p w:rsidR="00BC5C26" w:rsidRPr="00DC6935" w:rsidRDefault="00BC5C26" w:rsidP="00BC5C26">
      <w:pPr>
        <w:jc w:val="center"/>
        <w:rPr>
          <w:b/>
        </w:rPr>
      </w:pPr>
    </w:p>
    <w:p w:rsidR="00BC5C26" w:rsidRPr="00DC6935" w:rsidRDefault="00BC5C26" w:rsidP="00BC5C26">
      <w:pPr>
        <w:jc w:val="center"/>
        <w:rPr>
          <w:b/>
        </w:rPr>
      </w:pPr>
      <w:r>
        <w:rPr>
          <w:b/>
        </w:rPr>
        <w:t>Zagreb,</w:t>
      </w:r>
      <w:r w:rsidR="00F942CA">
        <w:rPr>
          <w:b/>
        </w:rPr>
        <w:t xml:space="preserve"> </w:t>
      </w:r>
      <w:r w:rsidR="000B6B5A">
        <w:rPr>
          <w:b/>
        </w:rPr>
        <w:t>11</w:t>
      </w:r>
      <w:r w:rsidR="008B1AB2">
        <w:rPr>
          <w:b/>
        </w:rPr>
        <w:t>. veljače</w:t>
      </w:r>
      <w:r w:rsidR="006A7AF8">
        <w:rPr>
          <w:b/>
        </w:rPr>
        <w:t xml:space="preserve"> 202</w:t>
      </w:r>
      <w:r w:rsidR="00F942CA">
        <w:rPr>
          <w:b/>
        </w:rPr>
        <w:t>6</w:t>
      </w:r>
      <w:r w:rsidRPr="00DC6935">
        <w:rPr>
          <w:b/>
        </w:rPr>
        <w:t>.</w:t>
      </w:r>
    </w:p>
    <w:sdt>
      <w:sdtPr>
        <w:rPr>
          <w:rFonts w:asciiTheme="minorHAnsi" w:eastAsiaTheme="minorHAnsi" w:hAnsiTheme="minorHAnsi" w:cstheme="minorBidi"/>
          <w:color w:val="auto"/>
          <w:sz w:val="22"/>
          <w:szCs w:val="22"/>
          <w:lang w:eastAsia="en-US"/>
        </w:rPr>
        <w:id w:val="-1202551063"/>
        <w:docPartObj>
          <w:docPartGallery w:val="Table of Contents"/>
          <w:docPartUnique/>
        </w:docPartObj>
      </w:sdtPr>
      <w:sdtEndPr>
        <w:rPr>
          <w:b/>
          <w:bCs/>
        </w:rPr>
      </w:sdtEndPr>
      <w:sdtContent>
        <w:p w:rsidR="00BC5C26" w:rsidRPr="00BD3157" w:rsidRDefault="00BC5C26" w:rsidP="00BC5C26">
          <w:pPr>
            <w:pStyle w:val="TOCNaslov"/>
            <w:rPr>
              <w:rFonts w:asciiTheme="minorHAnsi" w:hAnsiTheme="minorHAnsi" w:cstheme="minorHAnsi"/>
              <w:color w:val="000000" w:themeColor="text1"/>
              <w:sz w:val="24"/>
              <w:szCs w:val="24"/>
            </w:rPr>
          </w:pPr>
          <w:r w:rsidRPr="00BD3157">
            <w:rPr>
              <w:rFonts w:asciiTheme="minorHAnsi" w:hAnsiTheme="minorHAnsi" w:cstheme="minorHAnsi"/>
              <w:color w:val="000000" w:themeColor="text1"/>
              <w:sz w:val="24"/>
              <w:szCs w:val="24"/>
            </w:rPr>
            <w:t>Sadržaj:</w:t>
          </w:r>
        </w:p>
        <w:p w:rsidR="00A729EE" w:rsidRDefault="00BC5C26">
          <w:pPr>
            <w:pStyle w:val="Sadraj2"/>
            <w:tabs>
              <w:tab w:val="left" w:pos="660"/>
              <w:tab w:val="right" w:leader="dot" w:pos="9062"/>
            </w:tabs>
            <w:rPr>
              <w:rFonts w:eastAsiaTheme="minorEastAsia"/>
              <w:noProof/>
              <w:lang w:eastAsia="hr-HR"/>
            </w:rPr>
          </w:pPr>
          <w:r>
            <w:fldChar w:fldCharType="begin"/>
          </w:r>
          <w:r>
            <w:instrText xml:space="preserve"> TOC \o "1-3" \h \z \u </w:instrText>
          </w:r>
          <w:r>
            <w:fldChar w:fldCharType="separate"/>
          </w:r>
          <w:hyperlink w:anchor="_Toc192229228" w:history="1">
            <w:r w:rsidR="00A729EE" w:rsidRPr="00AA677F">
              <w:rPr>
                <w:rStyle w:val="Hiperveza"/>
                <w:b/>
                <w:noProof/>
              </w:rPr>
              <w:t>1.</w:t>
            </w:r>
            <w:r w:rsidR="00A729EE">
              <w:rPr>
                <w:rFonts w:eastAsiaTheme="minorEastAsia"/>
                <w:noProof/>
                <w:lang w:eastAsia="hr-HR"/>
              </w:rPr>
              <w:tab/>
            </w:r>
            <w:r w:rsidR="00A729EE" w:rsidRPr="00AA677F">
              <w:rPr>
                <w:rStyle w:val="Hiperveza"/>
                <w:b/>
                <w:noProof/>
              </w:rPr>
              <w:t>Uvod</w:t>
            </w:r>
            <w:r w:rsidR="00A729EE">
              <w:rPr>
                <w:noProof/>
                <w:webHidden/>
              </w:rPr>
              <w:tab/>
            </w:r>
            <w:r w:rsidR="00A729EE">
              <w:rPr>
                <w:noProof/>
                <w:webHidden/>
              </w:rPr>
              <w:fldChar w:fldCharType="begin"/>
            </w:r>
            <w:r w:rsidR="00A729EE">
              <w:rPr>
                <w:noProof/>
                <w:webHidden/>
              </w:rPr>
              <w:instrText xml:space="preserve"> PAGEREF _Toc192229228 \h </w:instrText>
            </w:r>
            <w:r w:rsidR="00A729EE">
              <w:rPr>
                <w:noProof/>
                <w:webHidden/>
              </w:rPr>
            </w:r>
            <w:r w:rsidR="00A729EE">
              <w:rPr>
                <w:noProof/>
                <w:webHidden/>
              </w:rPr>
              <w:fldChar w:fldCharType="separate"/>
            </w:r>
            <w:r w:rsidR="00A729EE">
              <w:rPr>
                <w:noProof/>
                <w:webHidden/>
              </w:rPr>
              <w:t>3</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29" w:history="1">
            <w:r w:rsidR="00A729EE" w:rsidRPr="00AA677F">
              <w:rPr>
                <w:rStyle w:val="Hiperveza"/>
                <w:b/>
                <w:noProof/>
              </w:rPr>
              <w:t>1.1.</w:t>
            </w:r>
            <w:r w:rsidR="00A729EE">
              <w:rPr>
                <w:rFonts w:eastAsiaTheme="minorEastAsia"/>
                <w:noProof/>
                <w:lang w:eastAsia="hr-HR"/>
              </w:rPr>
              <w:tab/>
            </w:r>
            <w:r w:rsidR="00A729EE" w:rsidRPr="00AA677F">
              <w:rPr>
                <w:rStyle w:val="Hiperveza"/>
                <w:b/>
                <w:noProof/>
              </w:rPr>
              <w:t>Pojašnjenje jediničnih troškova</w:t>
            </w:r>
            <w:r w:rsidR="00A729EE">
              <w:rPr>
                <w:noProof/>
                <w:webHidden/>
              </w:rPr>
              <w:tab/>
            </w:r>
            <w:r w:rsidR="00A729EE">
              <w:rPr>
                <w:noProof/>
                <w:webHidden/>
              </w:rPr>
              <w:fldChar w:fldCharType="begin"/>
            </w:r>
            <w:r w:rsidR="00A729EE">
              <w:rPr>
                <w:noProof/>
                <w:webHidden/>
              </w:rPr>
              <w:instrText xml:space="preserve"> PAGEREF _Toc192229229 \h </w:instrText>
            </w:r>
            <w:r w:rsidR="00A729EE">
              <w:rPr>
                <w:noProof/>
                <w:webHidden/>
              </w:rPr>
            </w:r>
            <w:r w:rsidR="00A729EE">
              <w:rPr>
                <w:noProof/>
                <w:webHidden/>
              </w:rPr>
              <w:fldChar w:fldCharType="separate"/>
            </w:r>
            <w:r w:rsidR="00A729EE">
              <w:rPr>
                <w:noProof/>
                <w:webHidden/>
              </w:rPr>
              <w:t>3</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30" w:history="1">
            <w:r w:rsidR="00A729EE" w:rsidRPr="00AA677F">
              <w:rPr>
                <w:rStyle w:val="Hiperveza"/>
                <w:b/>
                <w:noProof/>
              </w:rPr>
              <w:t>2.</w:t>
            </w:r>
            <w:r w:rsidR="00A729EE">
              <w:rPr>
                <w:rFonts w:eastAsiaTheme="minorEastAsia"/>
                <w:noProof/>
                <w:lang w:eastAsia="hr-HR"/>
              </w:rPr>
              <w:tab/>
            </w:r>
            <w:r w:rsidR="00A729EE" w:rsidRPr="00AA677F">
              <w:rPr>
                <w:rStyle w:val="Hiperveza"/>
                <w:b/>
                <w:noProof/>
              </w:rPr>
              <w:t>Obrazloženje korištenih podataka</w:t>
            </w:r>
            <w:r w:rsidR="00A729EE">
              <w:rPr>
                <w:noProof/>
                <w:webHidden/>
              </w:rPr>
              <w:tab/>
            </w:r>
            <w:r w:rsidR="00A729EE">
              <w:rPr>
                <w:noProof/>
                <w:webHidden/>
              </w:rPr>
              <w:fldChar w:fldCharType="begin"/>
            </w:r>
            <w:r w:rsidR="00A729EE">
              <w:rPr>
                <w:noProof/>
                <w:webHidden/>
              </w:rPr>
              <w:instrText xml:space="preserve"> PAGEREF _Toc192229230 \h </w:instrText>
            </w:r>
            <w:r w:rsidR="00A729EE">
              <w:rPr>
                <w:noProof/>
                <w:webHidden/>
              </w:rPr>
            </w:r>
            <w:r w:rsidR="00A729EE">
              <w:rPr>
                <w:noProof/>
                <w:webHidden/>
              </w:rPr>
              <w:fldChar w:fldCharType="separate"/>
            </w:r>
            <w:r w:rsidR="00A729EE">
              <w:rPr>
                <w:noProof/>
                <w:webHidden/>
              </w:rPr>
              <w:t>4</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1" w:history="1">
            <w:r w:rsidR="00A729EE" w:rsidRPr="00AA677F">
              <w:rPr>
                <w:rStyle w:val="Hiperveza"/>
                <w:b/>
                <w:noProof/>
              </w:rPr>
              <w:t>2.1.</w:t>
            </w:r>
            <w:r w:rsidR="00A729EE">
              <w:rPr>
                <w:rFonts w:eastAsiaTheme="minorEastAsia"/>
                <w:noProof/>
                <w:lang w:eastAsia="hr-HR"/>
              </w:rPr>
              <w:tab/>
            </w:r>
            <w:r w:rsidR="00A729EE" w:rsidRPr="00AA677F">
              <w:rPr>
                <w:rStyle w:val="Hiperveza"/>
                <w:b/>
                <w:noProof/>
              </w:rPr>
              <w:t>Prosječna potrošnja vozila voznog parka Ministarstva unutarnjih poslova</w:t>
            </w:r>
            <w:r w:rsidR="00A729EE">
              <w:rPr>
                <w:noProof/>
                <w:webHidden/>
              </w:rPr>
              <w:tab/>
            </w:r>
            <w:r w:rsidR="00A729EE">
              <w:rPr>
                <w:noProof/>
                <w:webHidden/>
              </w:rPr>
              <w:fldChar w:fldCharType="begin"/>
            </w:r>
            <w:r w:rsidR="00A729EE">
              <w:rPr>
                <w:noProof/>
                <w:webHidden/>
              </w:rPr>
              <w:instrText xml:space="preserve"> PAGEREF _Toc192229231 \h </w:instrText>
            </w:r>
            <w:r w:rsidR="00A729EE">
              <w:rPr>
                <w:noProof/>
                <w:webHidden/>
              </w:rPr>
            </w:r>
            <w:r w:rsidR="00A729EE">
              <w:rPr>
                <w:noProof/>
                <w:webHidden/>
              </w:rPr>
              <w:fldChar w:fldCharType="separate"/>
            </w:r>
            <w:r w:rsidR="00A729EE">
              <w:rPr>
                <w:noProof/>
                <w:webHidden/>
              </w:rPr>
              <w:t>4</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2" w:history="1">
            <w:r w:rsidR="00A729EE" w:rsidRPr="00AA677F">
              <w:rPr>
                <w:rStyle w:val="Hiperveza"/>
                <w:rFonts w:eastAsia="Times New Roman" w:cstheme="minorHAnsi"/>
                <w:b/>
                <w:noProof/>
                <w:lang w:eastAsia="hr-HR"/>
              </w:rPr>
              <w:t>2.2.</w:t>
            </w:r>
            <w:r w:rsidR="00A729EE">
              <w:rPr>
                <w:rFonts w:eastAsiaTheme="minorEastAsia"/>
                <w:noProof/>
                <w:lang w:eastAsia="hr-HR"/>
              </w:rPr>
              <w:tab/>
            </w:r>
            <w:r w:rsidR="00A729EE" w:rsidRPr="00AA677F">
              <w:rPr>
                <w:rStyle w:val="Hiperveza"/>
                <w:rFonts w:eastAsia="Times New Roman" w:cstheme="minorHAnsi"/>
                <w:b/>
                <w:noProof/>
                <w:lang w:eastAsia="hr-HR"/>
              </w:rPr>
              <w:t>Prosječna cijena goriva</w:t>
            </w:r>
            <w:r w:rsidR="00A729EE">
              <w:rPr>
                <w:noProof/>
                <w:webHidden/>
              </w:rPr>
              <w:tab/>
            </w:r>
            <w:r w:rsidR="00A729EE">
              <w:rPr>
                <w:noProof/>
                <w:webHidden/>
              </w:rPr>
              <w:fldChar w:fldCharType="begin"/>
            </w:r>
            <w:r w:rsidR="00A729EE">
              <w:rPr>
                <w:noProof/>
                <w:webHidden/>
              </w:rPr>
              <w:instrText xml:space="preserve"> PAGEREF _Toc192229232 \h </w:instrText>
            </w:r>
            <w:r w:rsidR="00A729EE">
              <w:rPr>
                <w:noProof/>
                <w:webHidden/>
              </w:rPr>
            </w:r>
            <w:r w:rsidR="00A729EE">
              <w:rPr>
                <w:noProof/>
                <w:webHidden/>
              </w:rPr>
              <w:fldChar w:fldCharType="separate"/>
            </w:r>
            <w:r w:rsidR="00A729EE">
              <w:rPr>
                <w:noProof/>
                <w:webHidden/>
              </w:rPr>
              <w:t>5</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3" w:history="1">
            <w:r w:rsidR="00A729EE" w:rsidRPr="00AA677F">
              <w:rPr>
                <w:rStyle w:val="Hiperveza"/>
                <w:rFonts w:eastAsia="Times New Roman" w:cstheme="minorHAnsi"/>
                <w:b/>
                <w:noProof/>
                <w:lang w:eastAsia="hr-HR"/>
              </w:rPr>
              <w:t>2.3.</w:t>
            </w:r>
            <w:r w:rsidR="00A729EE">
              <w:rPr>
                <w:rFonts w:eastAsiaTheme="minorEastAsia"/>
                <w:noProof/>
                <w:lang w:eastAsia="hr-HR"/>
              </w:rPr>
              <w:tab/>
            </w:r>
            <w:r w:rsidR="00A729EE" w:rsidRPr="00AA677F">
              <w:rPr>
                <w:rStyle w:val="Hiperveza"/>
                <w:rFonts w:eastAsia="Times New Roman" w:cstheme="minorHAnsi"/>
                <w:b/>
                <w:noProof/>
                <w:lang w:eastAsia="hr-HR"/>
              </w:rPr>
              <w:t>Interaktivna karta Hrvatske HAK-a</w:t>
            </w:r>
            <w:r w:rsidR="00A729EE">
              <w:rPr>
                <w:noProof/>
                <w:webHidden/>
              </w:rPr>
              <w:tab/>
            </w:r>
            <w:r w:rsidR="00A729EE">
              <w:rPr>
                <w:noProof/>
                <w:webHidden/>
              </w:rPr>
              <w:fldChar w:fldCharType="begin"/>
            </w:r>
            <w:r w:rsidR="00A729EE">
              <w:rPr>
                <w:noProof/>
                <w:webHidden/>
              </w:rPr>
              <w:instrText xml:space="preserve"> PAGEREF _Toc192229233 \h </w:instrText>
            </w:r>
            <w:r w:rsidR="00A729EE">
              <w:rPr>
                <w:noProof/>
                <w:webHidden/>
              </w:rPr>
            </w:r>
            <w:r w:rsidR="00A729EE">
              <w:rPr>
                <w:noProof/>
                <w:webHidden/>
              </w:rPr>
              <w:fldChar w:fldCharType="separate"/>
            </w:r>
            <w:r w:rsidR="00A729EE">
              <w:rPr>
                <w:noProof/>
                <w:webHidden/>
              </w:rPr>
              <w:t>5</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34" w:history="1">
            <w:r w:rsidR="00A729EE" w:rsidRPr="00AA677F">
              <w:rPr>
                <w:rStyle w:val="Hiperveza"/>
                <w:b/>
                <w:noProof/>
              </w:rPr>
              <w:t>3.</w:t>
            </w:r>
            <w:r w:rsidR="00A729EE">
              <w:rPr>
                <w:rFonts w:eastAsiaTheme="minorEastAsia"/>
                <w:noProof/>
                <w:lang w:eastAsia="hr-HR"/>
              </w:rPr>
              <w:tab/>
            </w:r>
            <w:r w:rsidR="00A729EE" w:rsidRPr="00AA677F">
              <w:rPr>
                <w:rStyle w:val="Hiperveza"/>
                <w:b/>
                <w:noProof/>
              </w:rPr>
              <w:t>Formula za izračun opravdanog iznosa troškova goriva</w:t>
            </w:r>
            <w:r w:rsidR="00A729EE">
              <w:rPr>
                <w:noProof/>
                <w:webHidden/>
              </w:rPr>
              <w:tab/>
            </w:r>
            <w:r w:rsidR="00A729EE">
              <w:rPr>
                <w:noProof/>
                <w:webHidden/>
              </w:rPr>
              <w:fldChar w:fldCharType="begin"/>
            </w:r>
            <w:r w:rsidR="00A729EE">
              <w:rPr>
                <w:noProof/>
                <w:webHidden/>
              </w:rPr>
              <w:instrText xml:space="preserve"> PAGEREF _Toc192229234 \h </w:instrText>
            </w:r>
            <w:r w:rsidR="00A729EE">
              <w:rPr>
                <w:noProof/>
                <w:webHidden/>
              </w:rPr>
            </w:r>
            <w:r w:rsidR="00A729EE">
              <w:rPr>
                <w:noProof/>
                <w:webHidden/>
              </w:rPr>
              <w:fldChar w:fldCharType="separate"/>
            </w:r>
            <w:r w:rsidR="00A729EE">
              <w:rPr>
                <w:noProof/>
                <w:webHidden/>
              </w:rPr>
              <w:t>6</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35" w:history="1">
            <w:r w:rsidR="00A729EE" w:rsidRPr="00AA677F">
              <w:rPr>
                <w:rStyle w:val="Hiperveza"/>
                <w:b/>
                <w:noProof/>
              </w:rPr>
              <w:t>4.</w:t>
            </w:r>
            <w:r w:rsidR="00A729EE">
              <w:rPr>
                <w:rFonts w:eastAsiaTheme="minorEastAsia"/>
                <w:noProof/>
                <w:lang w:eastAsia="hr-HR"/>
              </w:rPr>
              <w:tab/>
            </w:r>
            <w:r w:rsidR="00A729EE" w:rsidRPr="00AA677F">
              <w:rPr>
                <w:rStyle w:val="Hiperveza"/>
                <w:b/>
                <w:noProof/>
              </w:rPr>
              <w:t>Dokumentacija uz zahtjev za naknadu plaćenih troškova</w:t>
            </w:r>
            <w:r w:rsidR="00A729EE">
              <w:rPr>
                <w:noProof/>
                <w:webHidden/>
              </w:rPr>
              <w:tab/>
            </w:r>
            <w:r w:rsidR="00A729EE">
              <w:rPr>
                <w:noProof/>
                <w:webHidden/>
              </w:rPr>
              <w:fldChar w:fldCharType="begin"/>
            </w:r>
            <w:r w:rsidR="00A729EE">
              <w:rPr>
                <w:noProof/>
                <w:webHidden/>
              </w:rPr>
              <w:instrText xml:space="preserve"> PAGEREF _Toc192229235 \h </w:instrText>
            </w:r>
            <w:r w:rsidR="00A729EE">
              <w:rPr>
                <w:noProof/>
                <w:webHidden/>
              </w:rPr>
            </w:r>
            <w:r w:rsidR="00A729EE">
              <w:rPr>
                <w:noProof/>
                <w:webHidden/>
              </w:rPr>
              <w:fldChar w:fldCharType="separate"/>
            </w:r>
            <w:r w:rsidR="00A729EE">
              <w:rPr>
                <w:noProof/>
                <w:webHidden/>
              </w:rPr>
              <w:t>6</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36" w:history="1">
            <w:r w:rsidR="00A729EE" w:rsidRPr="00AA677F">
              <w:rPr>
                <w:rStyle w:val="Hiperveza"/>
                <w:b/>
                <w:noProof/>
              </w:rPr>
              <w:t>5.</w:t>
            </w:r>
            <w:r w:rsidR="00A729EE">
              <w:rPr>
                <w:rFonts w:eastAsiaTheme="minorEastAsia"/>
                <w:noProof/>
                <w:lang w:eastAsia="hr-HR"/>
              </w:rPr>
              <w:tab/>
            </w:r>
            <w:r w:rsidR="00A729EE" w:rsidRPr="00AA677F">
              <w:rPr>
                <w:rStyle w:val="Hiperveza"/>
                <w:b/>
                <w:noProof/>
              </w:rPr>
              <w:t>Način donošenja i primjene</w:t>
            </w:r>
            <w:r w:rsidR="00A729EE">
              <w:rPr>
                <w:noProof/>
                <w:webHidden/>
              </w:rPr>
              <w:tab/>
            </w:r>
            <w:r w:rsidR="00A729EE">
              <w:rPr>
                <w:noProof/>
                <w:webHidden/>
              </w:rPr>
              <w:fldChar w:fldCharType="begin"/>
            </w:r>
            <w:r w:rsidR="00A729EE">
              <w:rPr>
                <w:noProof/>
                <w:webHidden/>
              </w:rPr>
              <w:instrText xml:space="preserve"> PAGEREF _Toc192229236 \h </w:instrText>
            </w:r>
            <w:r w:rsidR="00A729EE">
              <w:rPr>
                <w:noProof/>
                <w:webHidden/>
              </w:rPr>
            </w:r>
            <w:r w:rsidR="00A729EE">
              <w:rPr>
                <w:noProof/>
                <w:webHidden/>
              </w:rPr>
              <w:fldChar w:fldCharType="separate"/>
            </w:r>
            <w:r w:rsidR="00A729EE">
              <w:rPr>
                <w:noProof/>
                <w:webHidden/>
              </w:rPr>
              <w:t>6</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7" w:history="1">
            <w:r w:rsidR="00A729EE" w:rsidRPr="00AA677F">
              <w:rPr>
                <w:rStyle w:val="Hiperveza"/>
                <w:b/>
                <w:noProof/>
              </w:rPr>
              <w:t>5.1.</w:t>
            </w:r>
            <w:r w:rsidR="00A729EE">
              <w:rPr>
                <w:rFonts w:eastAsiaTheme="minorEastAsia"/>
                <w:noProof/>
                <w:lang w:eastAsia="hr-HR"/>
              </w:rPr>
              <w:tab/>
            </w:r>
            <w:r w:rsidR="00A729EE" w:rsidRPr="00AA677F">
              <w:rPr>
                <w:rStyle w:val="Hiperveza"/>
                <w:b/>
                <w:noProof/>
              </w:rPr>
              <w:t>Način donošenja za pojedinačne projekte</w:t>
            </w:r>
            <w:r w:rsidR="00A729EE">
              <w:rPr>
                <w:noProof/>
                <w:webHidden/>
              </w:rPr>
              <w:tab/>
            </w:r>
            <w:r w:rsidR="00A729EE">
              <w:rPr>
                <w:noProof/>
                <w:webHidden/>
              </w:rPr>
              <w:fldChar w:fldCharType="begin"/>
            </w:r>
            <w:r w:rsidR="00A729EE">
              <w:rPr>
                <w:noProof/>
                <w:webHidden/>
              </w:rPr>
              <w:instrText xml:space="preserve"> PAGEREF _Toc192229237 \h </w:instrText>
            </w:r>
            <w:r w:rsidR="00A729EE">
              <w:rPr>
                <w:noProof/>
                <w:webHidden/>
              </w:rPr>
            </w:r>
            <w:r w:rsidR="00A729EE">
              <w:rPr>
                <w:noProof/>
                <w:webHidden/>
              </w:rPr>
              <w:fldChar w:fldCharType="separate"/>
            </w:r>
            <w:r w:rsidR="00A729EE">
              <w:rPr>
                <w:noProof/>
                <w:webHidden/>
              </w:rPr>
              <w:t>6</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8" w:history="1">
            <w:r w:rsidR="00A729EE" w:rsidRPr="00AA677F">
              <w:rPr>
                <w:rStyle w:val="Hiperveza"/>
                <w:b/>
                <w:noProof/>
              </w:rPr>
              <w:t>5.2.</w:t>
            </w:r>
            <w:r w:rsidR="00A729EE">
              <w:rPr>
                <w:rFonts w:eastAsiaTheme="minorEastAsia"/>
                <w:noProof/>
                <w:lang w:eastAsia="hr-HR"/>
              </w:rPr>
              <w:tab/>
            </w:r>
            <w:r w:rsidR="00A729EE" w:rsidRPr="00AA677F">
              <w:rPr>
                <w:rStyle w:val="Hiperveza"/>
                <w:b/>
                <w:noProof/>
              </w:rPr>
              <w:t>Izmjena pojedinih segmenata formule</w:t>
            </w:r>
            <w:r w:rsidR="00A729EE">
              <w:rPr>
                <w:noProof/>
                <w:webHidden/>
              </w:rPr>
              <w:tab/>
            </w:r>
            <w:r w:rsidR="00A729EE">
              <w:rPr>
                <w:noProof/>
                <w:webHidden/>
              </w:rPr>
              <w:fldChar w:fldCharType="begin"/>
            </w:r>
            <w:r w:rsidR="00A729EE">
              <w:rPr>
                <w:noProof/>
                <w:webHidden/>
              </w:rPr>
              <w:instrText xml:space="preserve"> PAGEREF _Toc192229238 \h </w:instrText>
            </w:r>
            <w:r w:rsidR="00A729EE">
              <w:rPr>
                <w:noProof/>
                <w:webHidden/>
              </w:rPr>
            </w:r>
            <w:r w:rsidR="00A729EE">
              <w:rPr>
                <w:noProof/>
                <w:webHidden/>
              </w:rPr>
              <w:fldChar w:fldCharType="separate"/>
            </w:r>
            <w:r w:rsidR="00A729EE">
              <w:rPr>
                <w:noProof/>
                <w:webHidden/>
              </w:rPr>
              <w:t>6</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39" w:history="1">
            <w:r w:rsidR="00A729EE" w:rsidRPr="00AA677F">
              <w:rPr>
                <w:rStyle w:val="Hiperveza"/>
                <w:b/>
                <w:noProof/>
              </w:rPr>
              <w:t>5.3.</w:t>
            </w:r>
            <w:r w:rsidR="00A729EE">
              <w:rPr>
                <w:rFonts w:eastAsiaTheme="minorEastAsia"/>
                <w:noProof/>
                <w:lang w:eastAsia="hr-HR"/>
              </w:rPr>
              <w:tab/>
            </w:r>
            <w:r w:rsidR="00A729EE" w:rsidRPr="00AA677F">
              <w:rPr>
                <w:rStyle w:val="Hiperveza"/>
                <w:b/>
                <w:noProof/>
              </w:rPr>
              <w:t>Ispunjavanje zahtjeva za naknadu plaćenih troškova</w:t>
            </w:r>
            <w:r w:rsidR="00A729EE">
              <w:rPr>
                <w:noProof/>
                <w:webHidden/>
              </w:rPr>
              <w:tab/>
            </w:r>
            <w:r w:rsidR="00A729EE">
              <w:rPr>
                <w:noProof/>
                <w:webHidden/>
              </w:rPr>
              <w:fldChar w:fldCharType="begin"/>
            </w:r>
            <w:r w:rsidR="00A729EE">
              <w:rPr>
                <w:noProof/>
                <w:webHidden/>
              </w:rPr>
              <w:instrText xml:space="preserve"> PAGEREF _Toc192229239 \h </w:instrText>
            </w:r>
            <w:r w:rsidR="00A729EE">
              <w:rPr>
                <w:noProof/>
                <w:webHidden/>
              </w:rPr>
            </w:r>
            <w:r w:rsidR="00A729EE">
              <w:rPr>
                <w:noProof/>
                <w:webHidden/>
              </w:rPr>
              <w:fldChar w:fldCharType="separate"/>
            </w:r>
            <w:r w:rsidR="00A729EE">
              <w:rPr>
                <w:noProof/>
                <w:webHidden/>
              </w:rPr>
              <w:t>7</w:t>
            </w:r>
            <w:r w:rsidR="00A729EE">
              <w:rPr>
                <w:noProof/>
                <w:webHidden/>
              </w:rPr>
              <w:fldChar w:fldCharType="end"/>
            </w:r>
          </w:hyperlink>
        </w:p>
        <w:p w:rsidR="00A729EE" w:rsidRDefault="0074533A">
          <w:pPr>
            <w:pStyle w:val="Sadraj2"/>
            <w:tabs>
              <w:tab w:val="left" w:pos="880"/>
              <w:tab w:val="right" w:leader="dot" w:pos="9062"/>
            </w:tabs>
            <w:rPr>
              <w:rFonts w:eastAsiaTheme="minorEastAsia"/>
              <w:noProof/>
              <w:lang w:eastAsia="hr-HR"/>
            </w:rPr>
          </w:pPr>
          <w:hyperlink w:anchor="_Toc192229240" w:history="1">
            <w:r w:rsidR="00A729EE" w:rsidRPr="00AA677F">
              <w:rPr>
                <w:rStyle w:val="Hiperveza"/>
                <w:b/>
                <w:noProof/>
              </w:rPr>
              <w:t>5.4.</w:t>
            </w:r>
            <w:r w:rsidR="00A729EE">
              <w:rPr>
                <w:rFonts w:eastAsiaTheme="minorEastAsia"/>
                <w:noProof/>
                <w:lang w:eastAsia="hr-HR"/>
              </w:rPr>
              <w:tab/>
            </w:r>
            <w:r w:rsidR="00A729EE" w:rsidRPr="00AA677F">
              <w:rPr>
                <w:rStyle w:val="Hiperveza"/>
                <w:b/>
                <w:noProof/>
              </w:rPr>
              <w:t>Plaćanje sredstvima s izvora 575 Fond</w:t>
            </w:r>
            <w:r w:rsidR="00A367EB">
              <w:rPr>
                <w:rStyle w:val="Hiperveza"/>
                <w:b/>
                <w:noProof/>
              </w:rPr>
              <w:t xml:space="preserve"> za azil, migracije i integraciju, 578 Fond za unutarnju sigurnost i 579 Fond za integrirano upravljanje granicama</w:t>
            </w:r>
            <w:r w:rsidR="00A729EE">
              <w:rPr>
                <w:noProof/>
                <w:webHidden/>
              </w:rPr>
              <w:tab/>
            </w:r>
            <w:r w:rsidR="00A729EE">
              <w:rPr>
                <w:noProof/>
                <w:webHidden/>
              </w:rPr>
              <w:fldChar w:fldCharType="begin"/>
            </w:r>
            <w:r w:rsidR="00A729EE">
              <w:rPr>
                <w:noProof/>
                <w:webHidden/>
              </w:rPr>
              <w:instrText xml:space="preserve"> PAGEREF _Toc192229240 \h </w:instrText>
            </w:r>
            <w:r w:rsidR="00A729EE">
              <w:rPr>
                <w:noProof/>
                <w:webHidden/>
              </w:rPr>
            </w:r>
            <w:r w:rsidR="00A729EE">
              <w:rPr>
                <w:noProof/>
                <w:webHidden/>
              </w:rPr>
              <w:fldChar w:fldCharType="separate"/>
            </w:r>
            <w:r w:rsidR="00A729EE">
              <w:rPr>
                <w:noProof/>
                <w:webHidden/>
              </w:rPr>
              <w:t>8</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41" w:history="1">
            <w:r w:rsidR="00A729EE" w:rsidRPr="00AA677F">
              <w:rPr>
                <w:rStyle w:val="Hiperveza"/>
                <w:rFonts w:cstheme="minorHAnsi"/>
                <w:b/>
                <w:noProof/>
              </w:rPr>
              <w:t>6.</w:t>
            </w:r>
            <w:r w:rsidR="00A729EE">
              <w:rPr>
                <w:rFonts w:eastAsiaTheme="minorEastAsia"/>
                <w:noProof/>
                <w:lang w:eastAsia="hr-HR"/>
              </w:rPr>
              <w:tab/>
            </w:r>
            <w:r w:rsidR="00A729EE" w:rsidRPr="00AA677F">
              <w:rPr>
                <w:rStyle w:val="Hiperveza"/>
                <w:rFonts w:cstheme="minorHAnsi"/>
                <w:b/>
                <w:noProof/>
              </w:rPr>
              <w:t>Primjer izračuna troškova goriva</w:t>
            </w:r>
            <w:r w:rsidR="00A729EE">
              <w:rPr>
                <w:noProof/>
                <w:webHidden/>
              </w:rPr>
              <w:tab/>
            </w:r>
            <w:r w:rsidR="00A729EE">
              <w:rPr>
                <w:noProof/>
                <w:webHidden/>
              </w:rPr>
              <w:fldChar w:fldCharType="begin"/>
            </w:r>
            <w:r w:rsidR="00A729EE">
              <w:rPr>
                <w:noProof/>
                <w:webHidden/>
              </w:rPr>
              <w:instrText xml:space="preserve"> PAGEREF _Toc192229241 \h </w:instrText>
            </w:r>
            <w:r w:rsidR="00A729EE">
              <w:rPr>
                <w:noProof/>
                <w:webHidden/>
              </w:rPr>
            </w:r>
            <w:r w:rsidR="00A729EE">
              <w:rPr>
                <w:noProof/>
                <w:webHidden/>
              </w:rPr>
              <w:fldChar w:fldCharType="separate"/>
            </w:r>
            <w:r w:rsidR="00A729EE">
              <w:rPr>
                <w:noProof/>
                <w:webHidden/>
              </w:rPr>
              <w:t>8</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42" w:history="1">
            <w:r w:rsidR="00A729EE" w:rsidRPr="00AA677F">
              <w:rPr>
                <w:rStyle w:val="Hiperveza"/>
                <w:b/>
                <w:noProof/>
              </w:rPr>
              <w:t>7.</w:t>
            </w:r>
            <w:r w:rsidR="00A729EE">
              <w:rPr>
                <w:rFonts w:eastAsiaTheme="minorEastAsia"/>
                <w:noProof/>
                <w:lang w:eastAsia="hr-HR"/>
              </w:rPr>
              <w:tab/>
            </w:r>
            <w:r w:rsidR="00A729EE" w:rsidRPr="00AA677F">
              <w:rPr>
                <w:rStyle w:val="Hiperveza"/>
                <w:b/>
                <w:noProof/>
              </w:rPr>
              <w:t>Tablice</w:t>
            </w:r>
            <w:r w:rsidR="00A729EE">
              <w:rPr>
                <w:noProof/>
                <w:webHidden/>
              </w:rPr>
              <w:tab/>
            </w:r>
            <w:r w:rsidR="00A729EE">
              <w:rPr>
                <w:noProof/>
                <w:webHidden/>
              </w:rPr>
              <w:fldChar w:fldCharType="begin"/>
            </w:r>
            <w:r w:rsidR="00A729EE">
              <w:rPr>
                <w:noProof/>
                <w:webHidden/>
              </w:rPr>
              <w:instrText xml:space="preserve"> PAGEREF _Toc192229242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3" w:history="1">
            <w:r w:rsidR="00A729EE" w:rsidRPr="00AA677F">
              <w:rPr>
                <w:rStyle w:val="Hiperveza"/>
                <w:b/>
                <w:noProof/>
              </w:rPr>
              <w:t>7.1. Tablica 1.</w:t>
            </w:r>
            <w:r w:rsidR="00A729EE" w:rsidRPr="00AA677F">
              <w:rPr>
                <w:rStyle w:val="Hiperveza"/>
                <w:noProof/>
              </w:rPr>
              <w:t xml:space="preserve"> Potrošnja goriva za vozila u voznom parku Ministarstva unutarnjih poslova za 202</w:t>
            </w:r>
            <w:r w:rsidR="00F942CA">
              <w:rPr>
                <w:rStyle w:val="Hiperveza"/>
                <w:noProof/>
              </w:rPr>
              <w:t>5</w:t>
            </w:r>
            <w:r w:rsidR="00A729EE" w:rsidRPr="00AA677F">
              <w:rPr>
                <w:rStyle w:val="Hiperveza"/>
                <w:noProof/>
              </w:rPr>
              <w:t>. godinu (izvor: Ministarstvo unutarnjih poslova)</w:t>
            </w:r>
            <w:r w:rsidR="00A729EE">
              <w:rPr>
                <w:noProof/>
                <w:webHidden/>
              </w:rPr>
              <w:tab/>
            </w:r>
            <w:r w:rsidR="00A729EE">
              <w:rPr>
                <w:noProof/>
                <w:webHidden/>
              </w:rPr>
              <w:fldChar w:fldCharType="begin"/>
            </w:r>
            <w:r w:rsidR="00A729EE">
              <w:rPr>
                <w:noProof/>
                <w:webHidden/>
              </w:rPr>
              <w:instrText xml:space="preserve"> PAGEREF _Toc192229243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4" w:history="1">
            <w:r w:rsidR="00A729EE" w:rsidRPr="00AA677F">
              <w:rPr>
                <w:rStyle w:val="Hiperveza"/>
                <w:b/>
                <w:noProof/>
              </w:rPr>
              <w:t>7.2. Tablica 2.</w:t>
            </w:r>
            <w:r w:rsidR="00A729EE" w:rsidRPr="00AA677F">
              <w:rPr>
                <w:rStyle w:val="Hiperveza"/>
                <w:noProof/>
              </w:rPr>
              <w:t xml:space="preserve"> </w:t>
            </w:r>
            <w:r w:rsidR="008B1AB2" w:rsidRPr="008B1AB2">
              <w:rPr>
                <w:rStyle w:val="Hiperveza"/>
                <w:noProof/>
              </w:rPr>
              <w:t>Prosječne cijene goriva svakog drugog utorka do 15. srpnja, a nadalje svakog utorka u 2025. godini (izvor: Ministarstvo gospodarstva)</w:t>
            </w:r>
            <w:r w:rsidR="00A729EE">
              <w:rPr>
                <w:noProof/>
                <w:webHidden/>
              </w:rPr>
              <w:tab/>
            </w:r>
            <w:r w:rsidR="00A729EE">
              <w:rPr>
                <w:noProof/>
                <w:webHidden/>
              </w:rPr>
              <w:fldChar w:fldCharType="begin"/>
            </w:r>
            <w:r w:rsidR="00A729EE">
              <w:rPr>
                <w:noProof/>
                <w:webHidden/>
              </w:rPr>
              <w:instrText xml:space="preserve"> PAGEREF _Toc192229244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45" w:history="1">
            <w:r w:rsidR="00A729EE" w:rsidRPr="00AA677F">
              <w:rPr>
                <w:rStyle w:val="Hiperveza"/>
                <w:b/>
                <w:noProof/>
              </w:rPr>
              <w:t>8.</w:t>
            </w:r>
            <w:r w:rsidR="00A729EE">
              <w:rPr>
                <w:rFonts w:eastAsiaTheme="minorEastAsia"/>
                <w:noProof/>
                <w:lang w:eastAsia="hr-HR"/>
              </w:rPr>
              <w:tab/>
            </w:r>
            <w:r w:rsidR="00A729EE" w:rsidRPr="00AA677F">
              <w:rPr>
                <w:rStyle w:val="Hiperveza"/>
                <w:b/>
                <w:noProof/>
              </w:rPr>
              <w:t>Slike</w:t>
            </w:r>
            <w:r w:rsidR="00A729EE">
              <w:rPr>
                <w:noProof/>
                <w:webHidden/>
              </w:rPr>
              <w:tab/>
            </w:r>
            <w:r w:rsidR="00A729EE">
              <w:rPr>
                <w:noProof/>
                <w:webHidden/>
              </w:rPr>
              <w:fldChar w:fldCharType="begin"/>
            </w:r>
            <w:r w:rsidR="00A729EE">
              <w:rPr>
                <w:noProof/>
                <w:webHidden/>
              </w:rPr>
              <w:instrText xml:space="preserve"> PAGEREF _Toc192229245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6" w:history="1">
            <w:r w:rsidR="00A729EE" w:rsidRPr="00AA677F">
              <w:rPr>
                <w:rStyle w:val="Hiperveza"/>
                <w:b/>
                <w:noProof/>
              </w:rPr>
              <w:t>8.1. Slika 1</w:t>
            </w:r>
            <w:r w:rsidR="00A729EE" w:rsidRPr="00AA677F">
              <w:rPr>
                <w:rStyle w:val="Hiperveza"/>
                <w:noProof/>
              </w:rPr>
              <w:t>. Primjer ispunjene Excel tablice – Izračun troškova goriva</w:t>
            </w:r>
            <w:r w:rsidR="00A729EE">
              <w:rPr>
                <w:noProof/>
                <w:webHidden/>
              </w:rPr>
              <w:tab/>
            </w:r>
            <w:r w:rsidR="00A729EE">
              <w:rPr>
                <w:noProof/>
                <w:webHidden/>
              </w:rPr>
              <w:fldChar w:fldCharType="begin"/>
            </w:r>
            <w:r w:rsidR="00A729EE">
              <w:rPr>
                <w:noProof/>
                <w:webHidden/>
              </w:rPr>
              <w:instrText xml:space="preserve"> PAGEREF _Toc192229246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7" w:history="1">
            <w:r w:rsidR="00A729EE" w:rsidRPr="00AA677F">
              <w:rPr>
                <w:rStyle w:val="Hiperveza"/>
                <w:b/>
                <w:noProof/>
              </w:rPr>
              <w:t>8</w:t>
            </w:r>
            <w:r w:rsidR="00A729EE" w:rsidRPr="00AA677F">
              <w:rPr>
                <w:rStyle w:val="Hiperveza"/>
                <w:noProof/>
              </w:rPr>
              <w:t>.</w:t>
            </w:r>
            <w:r w:rsidR="00A729EE" w:rsidRPr="00AA677F">
              <w:rPr>
                <w:rStyle w:val="Hiperveza"/>
                <w:b/>
                <w:noProof/>
              </w:rPr>
              <w:t xml:space="preserve">2. Slika 2. </w:t>
            </w:r>
            <w:r w:rsidR="00A729EE" w:rsidRPr="00AA677F">
              <w:rPr>
                <w:rStyle w:val="Hiperveza"/>
                <w:noProof/>
              </w:rPr>
              <w:t>Primjer ispunjenog zahtjeva za naknadu plaćenih troškova</w:t>
            </w:r>
            <w:r w:rsidR="00A729EE">
              <w:rPr>
                <w:noProof/>
                <w:webHidden/>
              </w:rPr>
              <w:tab/>
            </w:r>
            <w:r w:rsidR="00A729EE">
              <w:rPr>
                <w:noProof/>
                <w:webHidden/>
              </w:rPr>
              <w:fldChar w:fldCharType="begin"/>
            </w:r>
            <w:r w:rsidR="00A729EE">
              <w:rPr>
                <w:noProof/>
                <w:webHidden/>
              </w:rPr>
              <w:instrText xml:space="preserve"> PAGEREF _Toc192229247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8" w:history="1">
            <w:r w:rsidR="00A729EE" w:rsidRPr="00AA677F">
              <w:rPr>
                <w:rStyle w:val="Hiperveza"/>
                <w:b/>
                <w:noProof/>
              </w:rPr>
              <w:t>8.3.</w:t>
            </w:r>
            <w:r w:rsidR="00A729EE" w:rsidRPr="00AA677F">
              <w:rPr>
                <w:rStyle w:val="Hiperveza"/>
                <w:noProof/>
              </w:rPr>
              <w:t xml:space="preserve"> </w:t>
            </w:r>
            <w:r w:rsidR="00A729EE" w:rsidRPr="00AA677F">
              <w:rPr>
                <w:rStyle w:val="Hiperveza"/>
                <w:b/>
                <w:noProof/>
              </w:rPr>
              <w:t>Slika 3.</w:t>
            </w:r>
            <w:r w:rsidR="00A729EE" w:rsidRPr="00AA677F">
              <w:rPr>
                <w:rStyle w:val="Hiperveza"/>
                <w:noProof/>
              </w:rPr>
              <w:t xml:space="preserve"> HAK karta Zagreb – Split</w:t>
            </w:r>
            <w:r w:rsidR="00A729EE">
              <w:rPr>
                <w:noProof/>
                <w:webHidden/>
              </w:rPr>
              <w:tab/>
            </w:r>
            <w:r w:rsidR="00A729EE">
              <w:rPr>
                <w:noProof/>
                <w:webHidden/>
              </w:rPr>
              <w:fldChar w:fldCharType="begin"/>
            </w:r>
            <w:r w:rsidR="00A729EE">
              <w:rPr>
                <w:noProof/>
                <w:webHidden/>
              </w:rPr>
              <w:instrText xml:space="preserve"> PAGEREF _Toc192229248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49" w:history="1">
            <w:r w:rsidR="00A729EE" w:rsidRPr="00AA677F">
              <w:rPr>
                <w:rStyle w:val="Hiperveza"/>
                <w:b/>
                <w:noProof/>
              </w:rPr>
              <w:t xml:space="preserve">8.4. Slika 4. </w:t>
            </w:r>
            <w:r w:rsidR="00A729EE" w:rsidRPr="00AA677F">
              <w:rPr>
                <w:rStyle w:val="Hiperveza"/>
                <w:noProof/>
              </w:rPr>
              <w:t>HAK karta Split – Zagreb</w:t>
            </w:r>
            <w:r w:rsidR="00A729EE">
              <w:rPr>
                <w:noProof/>
                <w:webHidden/>
              </w:rPr>
              <w:tab/>
            </w:r>
            <w:r w:rsidR="00A729EE">
              <w:rPr>
                <w:noProof/>
                <w:webHidden/>
              </w:rPr>
              <w:fldChar w:fldCharType="begin"/>
            </w:r>
            <w:r w:rsidR="00A729EE">
              <w:rPr>
                <w:noProof/>
                <w:webHidden/>
              </w:rPr>
              <w:instrText xml:space="preserve"> PAGEREF _Toc192229249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1"/>
            <w:tabs>
              <w:tab w:val="left" w:pos="440"/>
              <w:tab w:val="right" w:leader="dot" w:pos="9062"/>
            </w:tabs>
            <w:rPr>
              <w:rFonts w:eastAsiaTheme="minorEastAsia"/>
              <w:noProof/>
              <w:lang w:eastAsia="hr-HR"/>
            </w:rPr>
          </w:pPr>
          <w:hyperlink w:anchor="_Toc192229250" w:history="1">
            <w:r w:rsidR="00A729EE" w:rsidRPr="00AA677F">
              <w:rPr>
                <w:rStyle w:val="Hiperveza"/>
                <w:b/>
                <w:noProof/>
              </w:rPr>
              <w:t>9.</w:t>
            </w:r>
            <w:r w:rsidR="00A729EE">
              <w:rPr>
                <w:rFonts w:eastAsiaTheme="minorEastAsia"/>
                <w:noProof/>
                <w:lang w:eastAsia="hr-HR"/>
              </w:rPr>
              <w:tab/>
            </w:r>
            <w:r w:rsidR="00A729EE" w:rsidRPr="00AA677F">
              <w:rPr>
                <w:rStyle w:val="Hiperveza"/>
                <w:b/>
                <w:noProof/>
              </w:rPr>
              <w:t>Prilozi</w:t>
            </w:r>
            <w:r w:rsidR="00A729EE">
              <w:rPr>
                <w:noProof/>
                <w:webHidden/>
              </w:rPr>
              <w:tab/>
            </w:r>
            <w:r w:rsidR="00A729EE">
              <w:rPr>
                <w:noProof/>
                <w:webHidden/>
              </w:rPr>
              <w:fldChar w:fldCharType="begin"/>
            </w:r>
            <w:r w:rsidR="00A729EE">
              <w:rPr>
                <w:noProof/>
                <w:webHidden/>
              </w:rPr>
              <w:instrText xml:space="preserve"> PAGEREF _Toc192229250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A729EE" w:rsidRDefault="0074533A">
          <w:pPr>
            <w:pStyle w:val="Sadraj2"/>
            <w:tabs>
              <w:tab w:val="right" w:leader="dot" w:pos="9062"/>
            </w:tabs>
            <w:rPr>
              <w:rFonts w:eastAsiaTheme="minorEastAsia"/>
              <w:noProof/>
              <w:lang w:eastAsia="hr-HR"/>
            </w:rPr>
          </w:pPr>
          <w:hyperlink w:anchor="_Toc192229251" w:history="1">
            <w:r w:rsidR="00A729EE" w:rsidRPr="00AA677F">
              <w:rPr>
                <w:rStyle w:val="Hiperveza"/>
                <w:b/>
                <w:noProof/>
              </w:rPr>
              <w:t>9.1.</w:t>
            </w:r>
            <w:r w:rsidR="00A729EE" w:rsidRPr="00AA677F">
              <w:rPr>
                <w:rStyle w:val="Hiperveza"/>
                <w:noProof/>
              </w:rPr>
              <w:t xml:space="preserve"> </w:t>
            </w:r>
            <w:r w:rsidR="00A729EE" w:rsidRPr="00AA677F">
              <w:rPr>
                <w:rStyle w:val="Hiperveza"/>
                <w:b/>
                <w:noProof/>
              </w:rPr>
              <w:t xml:space="preserve">Prilog 1. </w:t>
            </w:r>
            <w:r w:rsidR="00A729EE" w:rsidRPr="00AA677F">
              <w:rPr>
                <w:rStyle w:val="Hiperveza"/>
                <w:i/>
                <w:noProof/>
              </w:rPr>
              <w:t>Obrazac - Izračun troškova goriva 1.</w:t>
            </w:r>
            <w:r w:rsidR="00A367EB">
              <w:rPr>
                <w:rStyle w:val="Hiperveza"/>
                <w:i/>
                <w:noProof/>
              </w:rPr>
              <w:t>3</w:t>
            </w:r>
            <w:r w:rsidR="00A729EE" w:rsidRPr="00AA677F">
              <w:rPr>
                <w:rStyle w:val="Hiperveza"/>
                <w:i/>
                <w:noProof/>
              </w:rPr>
              <w:t>.</w:t>
            </w:r>
            <w:r w:rsidR="00A729EE">
              <w:rPr>
                <w:noProof/>
                <w:webHidden/>
              </w:rPr>
              <w:tab/>
            </w:r>
            <w:r w:rsidR="00A729EE">
              <w:rPr>
                <w:noProof/>
                <w:webHidden/>
              </w:rPr>
              <w:fldChar w:fldCharType="begin"/>
            </w:r>
            <w:r w:rsidR="00A729EE">
              <w:rPr>
                <w:noProof/>
                <w:webHidden/>
              </w:rPr>
              <w:instrText xml:space="preserve"> PAGEREF _Toc192229251 \h </w:instrText>
            </w:r>
            <w:r w:rsidR="00A729EE">
              <w:rPr>
                <w:noProof/>
                <w:webHidden/>
              </w:rPr>
            </w:r>
            <w:r w:rsidR="00A729EE">
              <w:rPr>
                <w:noProof/>
                <w:webHidden/>
              </w:rPr>
              <w:fldChar w:fldCharType="separate"/>
            </w:r>
            <w:r w:rsidR="00A729EE">
              <w:rPr>
                <w:noProof/>
                <w:webHidden/>
              </w:rPr>
              <w:t>9</w:t>
            </w:r>
            <w:r w:rsidR="00A729EE">
              <w:rPr>
                <w:noProof/>
                <w:webHidden/>
              </w:rPr>
              <w:fldChar w:fldCharType="end"/>
            </w:r>
          </w:hyperlink>
        </w:p>
        <w:p w:rsidR="00BC5C26" w:rsidRDefault="00BC5C26" w:rsidP="00BC5C26">
          <w:r>
            <w:rPr>
              <w:b/>
              <w:bCs/>
            </w:rPr>
            <w:fldChar w:fldCharType="end"/>
          </w:r>
        </w:p>
      </w:sdtContent>
    </w:sdt>
    <w:p w:rsidR="00BC5C26" w:rsidRDefault="00BC5C26" w:rsidP="00BC5C26"/>
    <w:p w:rsidR="00BC5C26" w:rsidRDefault="00BC5C26" w:rsidP="00BC5C26"/>
    <w:p w:rsidR="00BC5C26" w:rsidRDefault="00BC5C26" w:rsidP="00BC5C26"/>
    <w:p w:rsidR="00BC5C26" w:rsidRDefault="00BC5C26" w:rsidP="00BC5C26">
      <w:pPr>
        <w:jc w:val="center"/>
      </w:pPr>
    </w:p>
    <w:p w:rsidR="00BC5C26" w:rsidRDefault="00BC5C26" w:rsidP="00BC5C26"/>
    <w:p w:rsidR="00BC5C26" w:rsidRDefault="00BC5C26" w:rsidP="00BC5C26"/>
    <w:p w:rsidR="00BC5C26" w:rsidRDefault="00BC5C26" w:rsidP="00BC5C26"/>
    <w:p w:rsidR="00BC5C26" w:rsidRPr="0005062B" w:rsidRDefault="00BC5C26" w:rsidP="00BC6AEB">
      <w:pPr>
        <w:pStyle w:val="Odlomakpopisa"/>
        <w:numPr>
          <w:ilvl w:val="0"/>
          <w:numId w:val="1"/>
        </w:numPr>
        <w:spacing w:line="240" w:lineRule="auto"/>
        <w:outlineLvl w:val="1"/>
        <w:rPr>
          <w:b/>
          <w:sz w:val="24"/>
          <w:szCs w:val="24"/>
        </w:rPr>
      </w:pPr>
      <w:bookmarkStart w:id="0" w:name="_Toc192229228"/>
      <w:r w:rsidRPr="0005062B">
        <w:rPr>
          <w:b/>
          <w:sz w:val="24"/>
          <w:szCs w:val="24"/>
        </w:rPr>
        <w:t>Uvod</w:t>
      </w:r>
      <w:bookmarkEnd w:id="0"/>
    </w:p>
    <w:p w:rsidR="00BC5C26" w:rsidRDefault="00B558CC" w:rsidP="00BC5C26">
      <w:pPr>
        <w:jc w:val="both"/>
      </w:pPr>
      <w:r>
        <w:t>Upravljačko tijelo</w:t>
      </w:r>
      <w:r w:rsidR="00BC5C26">
        <w:t xml:space="preserve"> donosi metodologiju izračuna i priznavanja prihvatljivih troškova goriva za službena putovanja upotrebom </w:t>
      </w:r>
      <w:r w:rsidR="00ED38A4">
        <w:t>jediničnih</w:t>
      </w:r>
      <w:r w:rsidR="00BC5C26">
        <w:t xml:space="preserve"> troškova</w:t>
      </w:r>
      <w:r w:rsidR="00BC5C26">
        <w:rPr>
          <w:rFonts w:cstheme="minorHAnsi"/>
          <w:b/>
          <w:color w:val="000000" w:themeColor="text1"/>
          <w:sz w:val="24"/>
          <w:szCs w:val="24"/>
        </w:rPr>
        <w:t xml:space="preserve"> </w:t>
      </w:r>
      <w:r w:rsidR="00BC5C26" w:rsidRPr="0005062B">
        <w:rPr>
          <w:rFonts w:cstheme="minorHAnsi"/>
          <w:color w:val="000000" w:themeColor="text1"/>
          <w:sz w:val="24"/>
          <w:szCs w:val="24"/>
        </w:rPr>
        <w:t xml:space="preserve">temeljem sljedećih </w:t>
      </w:r>
      <w:r w:rsidR="00BC5C26" w:rsidRPr="0005062B">
        <w:t xml:space="preserve">dokumenata: </w:t>
      </w:r>
    </w:p>
    <w:p w:rsidR="006C05EE" w:rsidRPr="009C4B73" w:rsidRDefault="006C05EE" w:rsidP="000266A5">
      <w:pPr>
        <w:pStyle w:val="Odlomakpopisa"/>
        <w:numPr>
          <w:ilvl w:val="0"/>
          <w:numId w:val="13"/>
        </w:numPr>
        <w:spacing w:before="240"/>
        <w:ind w:left="426"/>
        <w:jc w:val="both"/>
      </w:pPr>
      <w:r w:rsidRPr="009C4B73">
        <w:rPr>
          <w:b/>
          <w:bCs/>
        </w:rPr>
        <w:t xml:space="preserve">UREDBA (EU) 2021/1060 EUROPSKOG PARLAMENTA I VIJEĆA od 24. lipnja 2021. o utvrđivanju zajedničkih odredaba o Europskom fondu za regionalni razvoj, Europskom socijalnom fondu plus, Kohezijskom fondu, </w:t>
      </w:r>
      <w:r w:rsidRPr="009C4B73">
        <w:rPr>
          <w:b/>
          <w:bCs/>
        </w:rPr>
        <w:lastRenderedPageBreak/>
        <w:t xml:space="preserve">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9C4B73">
        <w:rPr>
          <w:b/>
          <w:bCs/>
        </w:rPr>
        <w:t>vizne</w:t>
      </w:r>
      <w:proofErr w:type="spellEnd"/>
      <w:r w:rsidRPr="009C4B73">
        <w:rPr>
          <w:b/>
          <w:bCs/>
        </w:rPr>
        <w:t xml:space="preserve"> politike</w:t>
      </w:r>
    </w:p>
    <w:p w:rsidR="006C05EE" w:rsidRPr="006C05EE" w:rsidRDefault="006C05EE" w:rsidP="006C05EE">
      <w:pPr>
        <w:pStyle w:val="Odlomakpopisa"/>
        <w:spacing w:before="240"/>
        <w:jc w:val="both"/>
      </w:pPr>
    </w:p>
    <w:p w:rsidR="00BC5C26" w:rsidRDefault="00BC5C26" w:rsidP="006C05EE">
      <w:pPr>
        <w:pStyle w:val="Odlomakpopisa"/>
        <w:spacing w:before="240"/>
        <w:jc w:val="both"/>
      </w:pPr>
      <w:r>
        <w:t xml:space="preserve">U članku </w:t>
      </w:r>
      <w:r w:rsidR="006C05EE">
        <w:t>53.</w:t>
      </w:r>
      <w:r>
        <w:t xml:space="preserve"> st. 1. navedeno je </w:t>
      </w:r>
      <w:r w:rsidR="006C05EE">
        <w:t>da b</w:t>
      </w:r>
      <w:r w:rsidR="006C05EE" w:rsidRPr="006C05EE">
        <w:t>espovratna sredstva koje države članice pružaju korisnicima mogu biti u</w:t>
      </w:r>
      <w:r w:rsidR="006C05EE">
        <w:t xml:space="preserve"> bilo kojem od sljedećih oblika</w:t>
      </w:r>
      <w:r>
        <w:t>:</w:t>
      </w:r>
    </w:p>
    <w:p w:rsidR="006C05EE" w:rsidRDefault="006C05EE" w:rsidP="006C05EE">
      <w:pPr>
        <w:pStyle w:val="Odlomakpopisa"/>
        <w:numPr>
          <w:ilvl w:val="0"/>
          <w:numId w:val="15"/>
        </w:numPr>
        <w:spacing w:before="240"/>
        <w:jc w:val="both"/>
      </w:pPr>
      <w:r w:rsidRPr="006C05EE">
        <w:t>nadoknada prihvatljivih troškova koji su stvarno nastali za korisnika ili privatnog partnera operacije JPP-a i koji su plaćeni u provedbi operacija, doprinosi u naravi i amortizacija;</w:t>
      </w:r>
    </w:p>
    <w:p w:rsidR="006C05EE" w:rsidRDefault="006C05EE" w:rsidP="006C05EE">
      <w:pPr>
        <w:pStyle w:val="Odlomakpopisa"/>
        <w:numPr>
          <w:ilvl w:val="0"/>
          <w:numId w:val="15"/>
        </w:numPr>
        <w:spacing w:before="240"/>
        <w:jc w:val="both"/>
      </w:pPr>
      <w:r w:rsidRPr="006C05EE">
        <w:t>jedinični troškovi;</w:t>
      </w:r>
    </w:p>
    <w:p w:rsidR="006C05EE" w:rsidRDefault="006C05EE" w:rsidP="006C05EE">
      <w:pPr>
        <w:pStyle w:val="Odlomakpopisa"/>
        <w:numPr>
          <w:ilvl w:val="0"/>
          <w:numId w:val="15"/>
        </w:numPr>
        <w:spacing w:before="240"/>
        <w:jc w:val="both"/>
      </w:pPr>
      <w:r w:rsidRPr="006C05EE">
        <w:t>jednokratni iznosi;</w:t>
      </w:r>
    </w:p>
    <w:p w:rsidR="006C05EE" w:rsidRDefault="006C05EE" w:rsidP="006C05EE">
      <w:pPr>
        <w:pStyle w:val="Odlomakpopisa"/>
        <w:numPr>
          <w:ilvl w:val="0"/>
          <w:numId w:val="15"/>
        </w:numPr>
        <w:spacing w:before="240"/>
        <w:jc w:val="both"/>
      </w:pPr>
      <w:r w:rsidRPr="006C05EE">
        <w:t>financiranje uz primjenu paušalne stope;</w:t>
      </w:r>
    </w:p>
    <w:p w:rsidR="006C05EE" w:rsidRDefault="006C05EE" w:rsidP="006C05EE">
      <w:pPr>
        <w:pStyle w:val="Odlomakpopisa"/>
        <w:numPr>
          <w:ilvl w:val="0"/>
          <w:numId w:val="15"/>
        </w:numPr>
        <w:spacing w:before="240"/>
        <w:jc w:val="both"/>
      </w:pPr>
      <w:r w:rsidRPr="006C05EE">
        <w:t>kombinacija oblika navedenih u točkama od (a) do (d), pod uvjetom da se svaki oblik odnosi na različitu kategoriju troškova ili ako ih se upotrebljava za različite projekte koji su dio operacije ili za uzastopne faze operacije;</w:t>
      </w:r>
      <w:r>
        <w:tab/>
      </w:r>
    </w:p>
    <w:p w:rsidR="006C05EE" w:rsidRDefault="006C05EE" w:rsidP="006C05EE">
      <w:pPr>
        <w:pStyle w:val="Odlomakpopisa"/>
        <w:numPr>
          <w:ilvl w:val="0"/>
          <w:numId w:val="15"/>
        </w:numPr>
        <w:spacing w:before="240"/>
        <w:jc w:val="both"/>
      </w:pPr>
      <w:r>
        <w:t>financiranje koje nije povezano s troškovima, pod uvjetom da su takva bespovratna sredstva obuhvaćena nadoknadom doprinosa Unije na temelju članka 95.</w:t>
      </w:r>
    </w:p>
    <w:p w:rsidR="00BC5C26" w:rsidRDefault="00BC5C26" w:rsidP="00E353D7">
      <w:pPr>
        <w:spacing w:after="0"/>
        <w:ind w:left="708"/>
        <w:jc w:val="both"/>
      </w:pPr>
      <w:r>
        <w:t>N</w:t>
      </w:r>
      <w:r w:rsidR="006C05EE">
        <w:t>adalje, isti članak u st. 3</w:t>
      </w:r>
      <w:r>
        <w:t>. propisuje način utvrđivanja iznosa za točke b), c), i d):</w:t>
      </w:r>
    </w:p>
    <w:p w:rsidR="00BC5C26" w:rsidRDefault="00BC5C26" w:rsidP="00E353D7">
      <w:pPr>
        <w:pStyle w:val="Odlomakpopisa"/>
        <w:numPr>
          <w:ilvl w:val="2"/>
          <w:numId w:val="8"/>
        </w:numPr>
        <w:spacing w:after="0"/>
        <w:ind w:left="1134" w:firstLine="0"/>
        <w:jc w:val="both"/>
      </w:pPr>
      <w:r>
        <w:t>pravednom</w:t>
      </w:r>
      <w:r w:rsidR="00555DE3">
        <w:t>, nepristranom</w:t>
      </w:r>
      <w:r>
        <w:t xml:space="preserve"> i provjerljivom metodom izračuna koja se temelji na:</w:t>
      </w:r>
    </w:p>
    <w:p w:rsidR="00555DE3" w:rsidRDefault="00555DE3" w:rsidP="00E353D7">
      <w:pPr>
        <w:pStyle w:val="Odlomakpopisa"/>
        <w:spacing w:after="0"/>
        <w:ind w:left="1134"/>
        <w:jc w:val="both"/>
      </w:pPr>
    </w:p>
    <w:p w:rsidR="00BC5C26" w:rsidRDefault="00555DE3" w:rsidP="00E353D7">
      <w:pPr>
        <w:pStyle w:val="Odlomakpopisa"/>
        <w:numPr>
          <w:ilvl w:val="0"/>
          <w:numId w:val="7"/>
        </w:numPr>
        <w:spacing w:after="0"/>
        <w:ind w:left="2127"/>
        <w:jc w:val="both"/>
      </w:pPr>
      <w:r>
        <w:t>statističkim podacima,</w:t>
      </w:r>
      <w:r w:rsidR="00BC5C26">
        <w:t xml:space="preserve"> drugim objektivnim informacijama</w:t>
      </w:r>
      <w:r>
        <w:t xml:space="preserve"> ili stručnoj procjeni</w:t>
      </w:r>
      <w:r w:rsidR="00BC5C26">
        <w:t xml:space="preserve"> </w:t>
      </w:r>
    </w:p>
    <w:p w:rsidR="00BC5C26" w:rsidRDefault="00BC5C26" w:rsidP="00E353D7">
      <w:pPr>
        <w:pStyle w:val="Odlomakpopisa"/>
        <w:numPr>
          <w:ilvl w:val="0"/>
          <w:numId w:val="7"/>
        </w:numPr>
        <w:spacing w:after="0"/>
        <w:ind w:left="2127"/>
        <w:jc w:val="both"/>
      </w:pPr>
      <w:r>
        <w:t>provjerenim</w:t>
      </w:r>
      <w:r w:rsidR="00555DE3">
        <w:t xml:space="preserve"> povijesnim</w:t>
      </w:r>
      <w:r>
        <w:t xml:space="preserve"> podacima pojedinih korisnika</w:t>
      </w:r>
      <w:r w:rsidR="00555DE3">
        <w:t>;</w:t>
      </w:r>
    </w:p>
    <w:p w:rsidR="00BC5C26" w:rsidRDefault="00BC5C26" w:rsidP="00E353D7">
      <w:pPr>
        <w:pStyle w:val="Odlomakpopisa"/>
        <w:numPr>
          <w:ilvl w:val="0"/>
          <w:numId w:val="7"/>
        </w:numPr>
        <w:spacing w:after="0"/>
        <w:ind w:left="2127"/>
        <w:jc w:val="both"/>
      </w:pPr>
      <w:r>
        <w:t>primjeni uobičajenih praksi troškovnog računovodstva pojedinih korisnika;</w:t>
      </w:r>
    </w:p>
    <w:p w:rsidR="00555DE3" w:rsidRDefault="00555DE3" w:rsidP="00E353D7">
      <w:pPr>
        <w:pStyle w:val="Odlomakpopisa"/>
        <w:spacing w:after="0"/>
        <w:ind w:left="2127"/>
        <w:jc w:val="both"/>
      </w:pPr>
    </w:p>
    <w:p w:rsidR="00555DE3" w:rsidRDefault="00555DE3" w:rsidP="00E353D7">
      <w:pPr>
        <w:pStyle w:val="Odlomakpopisa"/>
        <w:numPr>
          <w:ilvl w:val="2"/>
          <w:numId w:val="8"/>
        </w:numPr>
        <w:spacing w:after="0"/>
        <w:ind w:left="1134" w:hanging="38"/>
        <w:jc w:val="both"/>
      </w:pPr>
      <w:r w:rsidRPr="00555DE3">
        <w:t xml:space="preserve">ako ukupni trošak operacije ne premašuje 200 000 EUR, nacrtima proračuna koje je za svaki pojedinačni slučaj </w:t>
      </w:r>
      <w:r w:rsidRPr="00555DE3">
        <w:rPr>
          <w:i/>
        </w:rPr>
        <w:t xml:space="preserve">ex </w:t>
      </w:r>
      <w:proofErr w:type="spellStart"/>
      <w:r w:rsidRPr="00555DE3">
        <w:rPr>
          <w:i/>
        </w:rPr>
        <w:t>ante</w:t>
      </w:r>
      <w:proofErr w:type="spellEnd"/>
      <w:r w:rsidRPr="00555DE3">
        <w:t xml:space="preserve"> utvrdilo i dogovorilo tijelo koje odabire operacije;</w:t>
      </w:r>
    </w:p>
    <w:p w:rsidR="00555DE3" w:rsidRDefault="00555DE3" w:rsidP="00E353D7">
      <w:pPr>
        <w:pStyle w:val="Odlomakpopisa"/>
        <w:numPr>
          <w:ilvl w:val="2"/>
          <w:numId w:val="8"/>
        </w:numPr>
        <w:spacing w:after="0"/>
        <w:ind w:left="1134" w:hanging="38"/>
        <w:jc w:val="both"/>
      </w:pPr>
      <w:r>
        <w:t xml:space="preserve"> </w:t>
      </w:r>
      <w:r w:rsidR="00BC5C26">
        <w:t xml:space="preserve">u skladu s pravilima za primjenu odgovarajuće </w:t>
      </w:r>
      <w:r w:rsidRPr="00555DE3">
        <w:t>odgovarajućih jediničnih troškova, jednokratnih iznosa i paušalnih stopa koji se primjenjuju u politikama Unije za sličnu vrstu operacije</w:t>
      </w:r>
      <w:r w:rsidR="00BC5C26">
        <w:t>;</w:t>
      </w:r>
    </w:p>
    <w:p w:rsidR="00BC5C26" w:rsidRDefault="00BC5C26" w:rsidP="00E353D7">
      <w:pPr>
        <w:pStyle w:val="Odlomakpopisa"/>
        <w:numPr>
          <w:ilvl w:val="2"/>
          <w:numId w:val="8"/>
        </w:numPr>
        <w:spacing w:after="0" w:line="240" w:lineRule="auto"/>
        <w:ind w:left="1134" w:firstLine="0"/>
        <w:jc w:val="both"/>
      </w:pPr>
      <w:r>
        <w:t xml:space="preserve">u skladu s pravilima za primjenu </w:t>
      </w:r>
      <w:r w:rsidR="00555DE3">
        <w:t>od</w:t>
      </w:r>
      <w:r w:rsidR="00555DE3" w:rsidRPr="00555DE3">
        <w:t>govarajućih jediničnih troškova, jednokratnih iznosa i paušalnih stopa koji se primjenjuju u okviru shema za bespovratna sredstva koja u cijelosti financira država članica za sličnu vrstu operacije</w:t>
      </w:r>
      <w:r w:rsidR="00555DE3">
        <w:t>;</w:t>
      </w:r>
    </w:p>
    <w:p w:rsidR="00E353D7" w:rsidRDefault="00E353D7" w:rsidP="00E353D7">
      <w:pPr>
        <w:pStyle w:val="Odlomakpopisa"/>
        <w:numPr>
          <w:ilvl w:val="2"/>
          <w:numId w:val="8"/>
        </w:numPr>
        <w:spacing w:after="0" w:line="240" w:lineRule="auto"/>
        <w:ind w:left="1134" w:firstLine="0"/>
        <w:jc w:val="both"/>
      </w:pPr>
      <w:r w:rsidRPr="00555DE3">
        <w:t>paušalnim stopama i posebnim metodama koje su utvrđene ovom Uredbom, na temelju ove Uredbe ili uredbama za pojedine fondove.</w:t>
      </w:r>
    </w:p>
    <w:p w:rsidR="0020147E" w:rsidRDefault="0020147E" w:rsidP="00BC5C26">
      <w:pPr>
        <w:pStyle w:val="Bezproreda"/>
        <w:ind w:left="708"/>
        <w:jc w:val="both"/>
      </w:pPr>
    </w:p>
    <w:p w:rsidR="0020147E" w:rsidRDefault="00BC6AEB" w:rsidP="00BC6AEB">
      <w:pPr>
        <w:pStyle w:val="Bezproreda"/>
        <w:numPr>
          <w:ilvl w:val="1"/>
          <w:numId w:val="20"/>
        </w:numPr>
        <w:jc w:val="both"/>
        <w:outlineLvl w:val="1"/>
        <w:rPr>
          <w:b/>
        </w:rPr>
      </w:pPr>
      <w:bookmarkStart w:id="1" w:name="_Toc192229229"/>
      <w:r>
        <w:rPr>
          <w:b/>
        </w:rPr>
        <w:t>Pojašnjenje</w:t>
      </w:r>
      <w:r w:rsidR="0020147E" w:rsidRPr="0020147E">
        <w:rPr>
          <w:b/>
        </w:rPr>
        <w:t xml:space="preserve"> </w:t>
      </w:r>
      <w:r w:rsidR="0020147E">
        <w:rPr>
          <w:b/>
        </w:rPr>
        <w:t>jediničnih troškova</w:t>
      </w:r>
      <w:bookmarkEnd w:id="1"/>
    </w:p>
    <w:p w:rsidR="0020147E" w:rsidRDefault="0020147E" w:rsidP="0020147E">
      <w:pPr>
        <w:pStyle w:val="Bezproreda"/>
        <w:ind w:left="708"/>
        <w:jc w:val="both"/>
        <w:rPr>
          <w:b/>
        </w:rPr>
      </w:pPr>
    </w:p>
    <w:p w:rsidR="0020147E" w:rsidRDefault="00BC6AEB" w:rsidP="00BC6AEB">
      <w:pPr>
        <w:pStyle w:val="Bezproreda"/>
        <w:jc w:val="both"/>
      </w:pPr>
      <w:r>
        <w:t xml:space="preserve">U </w:t>
      </w:r>
      <w:r w:rsidRPr="00BC6AEB">
        <w:t xml:space="preserve">slučaju korištenja standardnih ljestvica jediničnih troškova, projekt prima nepovratna sredstva na temelju količinski obavljenih aktivnosti, učinaka ili rezultata, pomnoženih sa standardnim opsegom jediničnih troškova kojeg određuje </w:t>
      </w:r>
      <w:r w:rsidR="00F147B6">
        <w:t>upravljačko</w:t>
      </w:r>
      <w:r w:rsidRPr="00BC6AEB">
        <w:t xml:space="preserve"> tijelo u suradnji s krajnjim korisnikom.</w:t>
      </w:r>
      <w:r w:rsidR="00166BDE">
        <w:t xml:space="preserve"> </w:t>
      </w:r>
      <w:r w:rsidR="0020147E">
        <w:t xml:space="preserve">Standardna ljestvica jediničnih troškova se u načelu upotrebljava za lako prepoznatljive količine, kao npr. </w:t>
      </w:r>
      <w:r w:rsidR="0020147E">
        <w:lastRenderedPageBreak/>
        <w:t>broj sati osposobljavanja, broj dana osposobljavanja, stečene svjedodžbe/potvrde, završeni moduli osposobljavanja, broj savjetodavnih sati, broj noćenja ili obroka.</w:t>
      </w:r>
    </w:p>
    <w:p w:rsidR="0020147E" w:rsidRDefault="0020147E" w:rsidP="00145315">
      <w:pPr>
        <w:pStyle w:val="Bezproreda"/>
        <w:jc w:val="both"/>
      </w:pPr>
      <w:r>
        <w:t>Korištenje standardne ljestvice jediničnih troškova pruža približnost stvarnim troškovima projekta. Kod paušalnih troškova ta metoda se ne temelji na unaprijed određenom ukupnom iznosu za neki rezultat projekta, već je konačni iznos, isplaćen korisniku, ovisan o rezultatu – tj. postignutim količinama.</w:t>
      </w:r>
    </w:p>
    <w:p w:rsidR="0020147E" w:rsidRDefault="0020147E" w:rsidP="00145315">
      <w:pPr>
        <w:pStyle w:val="Bezproreda"/>
        <w:jc w:val="both"/>
      </w:pPr>
      <w:r>
        <w:t>U okviru Fondova za unutarnje poslove troškovi goriva obračunavaju se temeljem Metodologije izračuna i priznavanja prihvatljivih troškova goriva za službena putovanja upotrebom jediničnih troškova (</w:t>
      </w:r>
      <w:proofErr w:type="spellStart"/>
      <w:r w:rsidRPr="0020147E">
        <w:rPr>
          <w:i/>
        </w:rPr>
        <w:t>simplified</w:t>
      </w:r>
      <w:proofErr w:type="spellEnd"/>
      <w:r w:rsidRPr="0020147E">
        <w:rPr>
          <w:i/>
        </w:rPr>
        <w:t xml:space="preserve"> </w:t>
      </w:r>
      <w:proofErr w:type="spellStart"/>
      <w:r w:rsidRPr="0020147E">
        <w:rPr>
          <w:i/>
        </w:rPr>
        <w:t>cost</w:t>
      </w:r>
      <w:proofErr w:type="spellEnd"/>
      <w:r w:rsidRPr="0020147E">
        <w:rPr>
          <w:i/>
        </w:rPr>
        <w:t xml:space="preserve"> </w:t>
      </w:r>
      <w:proofErr w:type="spellStart"/>
      <w:r w:rsidRPr="0020147E">
        <w:rPr>
          <w:i/>
        </w:rPr>
        <w:t>options</w:t>
      </w:r>
      <w:proofErr w:type="spellEnd"/>
      <w:r>
        <w:t>).</w:t>
      </w:r>
    </w:p>
    <w:p w:rsidR="008C1C6A" w:rsidRDefault="008C1C6A" w:rsidP="00145315">
      <w:pPr>
        <w:pStyle w:val="Bezproreda"/>
        <w:jc w:val="both"/>
      </w:pPr>
    </w:p>
    <w:p w:rsidR="0020147E" w:rsidRDefault="0020147E" w:rsidP="00145315">
      <w:pPr>
        <w:pStyle w:val="Bezproreda"/>
        <w:jc w:val="both"/>
      </w:pPr>
      <w:r>
        <w:t>Kao posljedica toga prilikom korištenja standardne ljestvice jediničnih troškova, moraju se poštivati sljedeći elementi:</w:t>
      </w:r>
    </w:p>
    <w:p w:rsidR="0020147E" w:rsidRDefault="0020147E" w:rsidP="00BC6AEB">
      <w:pPr>
        <w:pStyle w:val="Bezproreda"/>
        <w:numPr>
          <w:ilvl w:val="0"/>
          <w:numId w:val="21"/>
        </w:numPr>
        <w:ind w:left="1276"/>
        <w:jc w:val="both"/>
      </w:pPr>
      <w:r>
        <w:t>temelj za izračun opsega jediničnih troškova u projektu mora biti pošten, pravedan i provjerljiv. Uspostava standardnih iznosa jediničnih troškova mora biti opravdana.</w:t>
      </w:r>
    </w:p>
    <w:p w:rsidR="0020147E" w:rsidRDefault="0020147E" w:rsidP="00BC6AEB">
      <w:pPr>
        <w:pStyle w:val="Bezproreda"/>
        <w:numPr>
          <w:ilvl w:val="0"/>
          <w:numId w:val="21"/>
        </w:numPr>
        <w:ind w:left="1276"/>
        <w:jc w:val="both"/>
      </w:pPr>
      <w:r>
        <w:t>s obzirom na to da će plaćanja biti izvršena na temelju količina, krajnji korisnik prijavljene količine mora potvrditi, opravdati i dokumentirati te prikazati da su aktivnosti ili učinci stvarno realizirani.</w:t>
      </w:r>
    </w:p>
    <w:p w:rsidR="0020147E" w:rsidRDefault="0020147E" w:rsidP="00BC6AEB">
      <w:pPr>
        <w:pStyle w:val="Bezproreda"/>
        <w:ind w:left="142"/>
        <w:jc w:val="both"/>
      </w:pPr>
    </w:p>
    <w:p w:rsidR="0020147E" w:rsidRDefault="0020147E" w:rsidP="00145315">
      <w:pPr>
        <w:pStyle w:val="Bezproreda"/>
        <w:jc w:val="both"/>
      </w:pPr>
      <w:r>
        <w:t>Potrebni dokazi:</w:t>
      </w:r>
    </w:p>
    <w:p w:rsidR="0020147E" w:rsidRDefault="0020147E" w:rsidP="00BC6AEB">
      <w:pPr>
        <w:pStyle w:val="Bezproreda"/>
        <w:numPr>
          <w:ilvl w:val="0"/>
          <w:numId w:val="19"/>
        </w:numPr>
        <w:ind w:left="1134" w:hanging="283"/>
        <w:jc w:val="both"/>
      </w:pPr>
      <w:r>
        <w:t>temelj za izračun standardne ljestvice jediničnih troškova (količinski definirane aktivnosti, učinci ili rezultati);</w:t>
      </w:r>
    </w:p>
    <w:p w:rsidR="00F719F1" w:rsidRPr="0020147E" w:rsidRDefault="0020147E" w:rsidP="00BC6AEB">
      <w:pPr>
        <w:pStyle w:val="Bezproreda"/>
        <w:numPr>
          <w:ilvl w:val="0"/>
          <w:numId w:val="19"/>
        </w:numPr>
        <w:ind w:left="1134" w:hanging="283"/>
        <w:jc w:val="both"/>
        <w:rPr>
          <w:b/>
        </w:rPr>
      </w:pPr>
      <w:r>
        <w:t>dokazi o prijavljenim količinama (npr. popis sudionika, fotografski materijal,  priznanica itd.).</w:t>
      </w:r>
    </w:p>
    <w:p w:rsidR="00F719F1" w:rsidRDefault="00F719F1" w:rsidP="00BC6AEB">
      <w:pPr>
        <w:pStyle w:val="Bezproreda"/>
        <w:ind w:left="142"/>
      </w:pPr>
    </w:p>
    <w:p w:rsidR="00F719F1" w:rsidRPr="00C06867" w:rsidRDefault="00F719F1" w:rsidP="00BC5C26">
      <w:pPr>
        <w:pStyle w:val="Bezproreda"/>
      </w:pPr>
    </w:p>
    <w:p w:rsidR="00BC5C26" w:rsidRPr="009C4B73" w:rsidRDefault="00BC5C26" w:rsidP="00BC5C26">
      <w:pPr>
        <w:pStyle w:val="Odlomakpopisa"/>
        <w:numPr>
          <w:ilvl w:val="0"/>
          <w:numId w:val="1"/>
        </w:numPr>
        <w:outlineLvl w:val="0"/>
        <w:rPr>
          <w:b/>
          <w:sz w:val="24"/>
          <w:szCs w:val="28"/>
        </w:rPr>
      </w:pPr>
      <w:bookmarkStart w:id="2" w:name="_Toc192229230"/>
      <w:r w:rsidRPr="009C4B73">
        <w:rPr>
          <w:b/>
          <w:sz w:val="24"/>
          <w:szCs w:val="28"/>
        </w:rPr>
        <w:t>Obrazloženje korištenih podataka</w:t>
      </w:r>
      <w:bookmarkEnd w:id="2"/>
      <w:r w:rsidRPr="009C4B73">
        <w:rPr>
          <w:b/>
          <w:sz w:val="24"/>
          <w:szCs w:val="28"/>
        </w:rPr>
        <w:t xml:space="preserve"> </w:t>
      </w:r>
    </w:p>
    <w:p w:rsidR="00BC5C26" w:rsidRPr="00890C0A" w:rsidRDefault="00BC5C26" w:rsidP="00BC5C26">
      <w:pPr>
        <w:pStyle w:val="Odlomakpopisa"/>
        <w:rPr>
          <w:b/>
        </w:rPr>
      </w:pPr>
    </w:p>
    <w:p w:rsidR="00BC5C26" w:rsidRPr="00E7788B" w:rsidRDefault="00BC5C26" w:rsidP="00E7788B">
      <w:pPr>
        <w:pStyle w:val="Odlomakpopisa"/>
        <w:numPr>
          <w:ilvl w:val="1"/>
          <w:numId w:val="1"/>
        </w:numPr>
        <w:outlineLvl w:val="1"/>
        <w:rPr>
          <w:b/>
        </w:rPr>
      </w:pPr>
      <w:bookmarkStart w:id="3" w:name="_Toc192229231"/>
      <w:r w:rsidRPr="00024C0B">
        <w:rPr>
          <w:b/>
        </w:rPr>
        <w:t>Prosječna potrošnja vozila voznog parka Ministarstva unutarnjih poslova</w:t>
      </w:r>
      <w:bookmarkEnd w:id="3"/>
    </w:p>
    <w:p w:rsidR="00495448" w:rsidRDefault="00495448" w:rsidP="00BC5C26">
      <w:pPr>
        <w:spacing w:after="120" w:line="276" w:lineRule="auto"/>
        <w:ind w:right="-46"/>
        <w:jc w:val="both"/>
        <w:rPr>
          <w:rFonts w:eastAsia="Times New Roman" w:cstheme="minorHAnsi"/>
          <w:lang w:eastAsia="hr-HR"/>
        </w:rPr>
      </w:pPr>
      <w:r w:rsidRPr="00495448">
        <w:rPr>
          <w:rFonts w:eastAsia="Times New Roman" w:cstheme="minorHAnsi"/>
          <w:i/>
          <w:lang w:eastAsia="hr-HR"/>
        </w:rPr>
        <w:t>Tablica 1. Potrošnja goriva za vozila u voznom parku Minista</w:t>
      </w:r>
      <w:r w:rsidR="0025467D">
        <w:rPr>
          <w:rFonts w:eastAsia="Times New Roman" w:cstheme="minorHAnsi"/>
          <w:i/>
          <w:lang w:eastAsia="hr-HR"/>
        </w:rPr>
        <w:t>rstva unutarnjih poslova za 202</w:t>
      </w:r>
      <w:r w:rsidR="00F942CA">
        <w:rPr>
          <w:rFonts w:eastAsia="Times New Roman" w:cstheme="minorHAnsi"/>
          <w:i/>
          <w:lang w:eastAsia="hr-HR"/>
        </w:rPr>
        <w:t>5</w:t>
      </w:r>
      <w:r w:rsidRPr="00495448">
        <w:rPr>
          <w:rFonts w:eastAsia="Times New Roman" w:cstheme="minorHAnsi"/>
          <w:i/>
          <w:lang w:eastAsia="hr-HR"/>
        </w:rPr>
        <w:t>. godinu (izvor: Ministarstvo unutarnjih poslova)</w:t>
      </w:r>
    </w:p>
    <w:tbl>
      <w:tblPr>
        <w:tblW w:w="5515" w:type="dxa"/>
        <w:jc w:val="center"/>
        <w:tblLook w:val="04A0" w:firstRow="1" w:lastRow="0" w:firstColumn="1" w:lastColumn="0" w:noHBand="0" w:noVBand="1"/>
      </w:tblPr>
      <w:tblGrid>
        <w:gridCol w:w="2737"/>
        <w:gridCol w:w="1587"/>
        <w:gridCol w:w="1191"/>
      </w:tblGrid>
      <w:tr w:rsidR="00495448" w:rsidRPr="007308EE" w:rsidTr="00495448">
        <w:trPr>
          <w:trHeight w:val="297"/>
          <w:jc w:val="center"/>
        </w:trPr>
        <w:tc>
          <w:tcPr>
            <w:tcW w:w="2737" w:type="dxa"/>
            <w:vMerge w:val="restart"/>
            <w:tcBorders>
              <w:top w:val="single" w:sz="12" w:space="0" w:color="auto"/>
              <w:left w:val="single" w:sz="12" w:space="0" w:color="auto"/>
              <w:bottom w:val="nil"/>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 </w:t>
            </w:r>
          </w:p>
        </w:tc>
        <w:tc>
          <w:tcPr>
            <w:tcW w:w="2778" w:type="dxa"/>
            <w:gridSpan w:val="2"/>
            <w:tcBorders>
              <w:top w:val="single" w:sz="12" w:space="0" w:color="auto"/>
              <w:left w:val="nil"/>
              <w:bottom w:val="single" w:sz="12" w:space="0" w:color="auto"/>
              <w:right w:val="single" w:sz="12" w:space="0" w:color="000000"/>
            </w:tcBorders>
            <w:shd w:val="clear" w:color="auto" w:fill="auto"/>
            <w:noWrap/>
            <w:vAlign w:val="bottom"/>
            <w:hideMark/>
          </w:tcPr>
          <w:p w:rsidR="00495448" w:rsidRPr="007308EE" w:rsidRDefault="00495448" w:rsidP="00495448">
            <w:pPr>
              <w:spacing w:after="0" w:line="240" w:lineRule="auto"/>
              <w:jc w:val="center"/>
              <w:rPr>
                <w:rFonts w:eastAsia="Times New Roman" w:cs="Calibri"/>
                <w:color w:val="000000"/>
                <w:lang w:eastAsia="hr-HR"/>
              </w:rPr>
            </w:pPr>
            <w:r w:rsidRPr="007308EE">
              <w:rPr>
                <w:rFonts w:eastAsia="Times New Roman" w:cs="Calibri"/>
                <w:color w:val="000000"/>
                <w:lang w:eastAsia="hr-HR"/>
              </w:rPr>
              <w:t>POTROŠNJA (L/100 km)</w:t>
            </w:r>
          </w:p>
        </w:tc>
      </w:tr>
      <w:tr w:rsidR="00495448" w:rsidRPr="007308EE" w:rsidTr="00D65E67">
        <w:trPr>
          <w:trHeight w:val="297"/>
          <w:jc w:val="center"/>
        </w:trPr>
        <w:tc>
          <w:tcPr>
            <w:tcW w:w="2737" w:type="dxa"/>
            <w:vMerge/>
            <w:tcBorders>
              <w:top w:val="single" w:sz="12" w:space="0" w:color="auto"/>
              <w:left w:val="single" w:sz="12" w:space="0" w:color="auto"/>
              <w:bottom w:val="nil"/>
              <w:right w:val="single" w:sz="12" w:space="0" w:color="auto"/>
            </w:tcBorders>
            <w:vAlign w:val="center"/>
            <w:hideMark/>
          </w:tcPr>
          <w:p w:rsidR="00495448" w:rsidRPr="007308EE" w:rsidRDefault="00495448" w:rsidP="00495448">
            <w:pPr>
              <w:spacing w:after="0" w:line="240" w:lineRule="auto"/>
              <w:rPr>
                <w:rFonts w:eastAsia="Times New Roman" w:cs="Calibri"/>
                <w:color w:val="000000"/>
                <w:lang w:eastAsia="hr-HR"/>
              </w:rPr>
            </w:pPr>
          </w:p>
        </w:tc>
        <w:tc>
          <w:tcPr>
            <w:tcW w:w="1587" w:type="dxa"/>
            <w:tcBorders>
              <w:top w:val="nil"/>
              <w:left w:val="nil"/>
              <w:bottom w:val="single" w:sz="12" w:space="0" w:color="auto"/>
              <w:right w:val="single" w:sz="12" w:space="0" w:color="auto"/>
            </w:tcBorders>
            <w:shd w:val="clear" w:color="auto" w:fill="auto"/>
            <w:noWrap/>
            <w:vAlign w:val="bottom"/>
            <w:hideMark/>
          </w:tcPr>
          <w:p w:rsidR="00495448" w:rsidRPr="007308EE" w:rsidRDefault="00495448" w:rsidP="00495448">
            <w:pPr>
              <w:spacing w:after="0" w:line="240" w:lineRule="auto"/>
              <w:jc w:val="center"/>
              <w:rPr>
                <w:rFonts w:eastAsia="Times New Roman" w:cs="Calibri"/>
                <w:color w:val="000000"/>
                <w:lang w:eastAsia="hr-HR"/>
              </w:rPr>
            </w:pPr>
            <w:r w:rsidRPr="007308EE">
              <w:rPr>
                <w:rFonts w:eastAsia="Times New Roman" w:cs="Calibri"/>
                <w:color w:val="000000"/>
                <w:lang w:eastAsia="hr-HR"/>
              </w:rPr>
              <w:t>BENZIN</w:t>
            </w:r>
          </w:p>
        </w:tc>
        <w:tc>
          <w:tcPr>
            <w:tcW w:w="1191" w:type="dxa"/>
            <w:tcBorders>
              <w:top w:val="nil"/>
              <w:left w:val="nil"/>
              <w:bottom w:val="single" w:sz="12" w:space="0" w:color="auto"/>
              <w:right w:val="single" w:sz="12" w:space="0" w:color="auto"/>
            </w:tcBorders>
            <w:shd w:val="clear" w:color="auto" w:fill="auto"/>
            <w:noWrap/>
            <w:vAlign w:val="bottom"/>
            <w:hideMark/>
          </w:tcPr>
          <w:p w:rsidR="00495448" w:rsidRPr="007308EE" w:rsidRDefault="00495448" w:rsidP="00495448">
            <w:pPr>
              <w:spacing w:after="0" w:line="240" w:lineRule="auto"/>
              <w:jc w:val="center"/>
              <w:rPr>
                <w:rFonts w:eastAsia="Times New Roman" w:cs="Calibri"/>
                <w:color w:val="000000"/>
                <w:lang w:eastAsia="hr-HR"/>
              </w:rPr>
            </w:pPr>
            <w:r w:rsidRPr="007308EE">
              <w:rPr>
                <w:rFonts w:eastAsia="Times New Roman" w:cs="Calibri"/>
                <w:color w:val="000000"/>
                <w:lang w:eastAsia="hr-HR"/>
              </w:rPr>
              <w:t>DIZEL</w:t>
            </w:r>
          </w:p>
        </w:tc>
      </w:tr>
      <w:tr w:rsidR="00495448" w:rsidRPr="007308EE" w:rsidTr="00D65E67">
        <w:trPr>
          <w:trHeight w:val="285"/>
          <w:jc w:val="center"/>
        </w:trPr>
        <w:tc>
          <w:tcPr>
            <w:tcW w:w="2737"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FORD FOCUS</w:t>
            </w:r>
          </w:p>
        </w:tc>
        <w:tc>
          <w:tcPr>
            <w:tcW w:w="1587" w:type="dxa"/>
            <w:tcBorders>
              <w:top w:val="nil"/>
              <w:left w:val="nil"/>
              <w:bottom w:val="single" w:sz="4" w:space="0" w:color="auto"/>
              <w:right w:val="single" w:sz="12" w:space="0" w:color="auto"/>
            </w:tcBorders>
            <w:shd w:val="clear" w:color="auto" w:fill="auto"/>
            <w:noWrap/>
            <w:vAlign w:val="bottom"/>
            <w:hideMark/>
          </w:tcPr>
          <w:p w:rsidR="00495448" w:rsidRPr="007308EE" w:rsidRDefault="00FA67D6" w:rsidP="00495448">
            <w:pPr>
              <w:spacing w:after="0" w:line="240" w:lineRule="auto"/>
              <w:jc w:val="center"/>
              <w:rPr>
                <w:rFonts w:eastAsia="Times New Roman" w:cs="Calibri"/>
                <w:color w:val="000000"/>
                <w:lang w:eastAsia="hr-HR"/>
              </w:rPr>
            </w:pPr>
            <w:r>
              <w:rPr>
                <w:rFonts w:eastAsia="Times New Roman" w:cs="Calibri"/>
                <w:color w:val="000000"/>
                <w:lang w:eastAsia="hr-HR"/>
              </w:rPr>
              <w:t>/</w:t>
            </w:r>
          </w:p>
        </w:tc>
        <w:tc>
          <w:tcPr>
            <w:tcW w:w="1191" w:type="dxa"/>
            <w:tcBorders>
              <w:top w:val="nil"/>
              <w:left w:val="nil"/>
              <w:bottom w:val="single" w:sz="4" w:space="0" w:color="auto"/>
              <w:right w:val="single" w:sz="12" w:space="0" w:color="auto"/>
            </w:tcBorders>
            <w:shd w:val="clear" w:color="auto" w:fill="auto"/>
            <w:noWrap/>
            <w:vAlign w:val="bottom"/>
            <w:hideMark/>
          </w:tcPr>
          <w:p w:rsidR="00495448" w:rsidRPr="007308EE" w:rsidRDefault="00AD5792" w:rsidP="00495448">
            <w:pPr>
              <w:spacing w:after="0" w:line="240" w:lineRule="auto"/>
              <w:jc w:val="center"/>
              <w:rPr>
                <w:rFonts w:eastAsia="Times New Roman" w:cs="Calibri"/>
                <w:color w:val="000000"/>
                <w:lang w:eastAsia="hr-HR"/>
              </w:rPr>
            </w:pPr>
            <w:r>
              <w:rPr>
                <w:rFonts w:eastAsia="Times New Roman" w:cs="Calibri"/>
                <w:color w:val="000000"/>
                <w:lang w:eastAsia="hr-HR"/>
              </w:rPr>
              <w:t>6,55</w:t>
            </w:r>
          </w:p>
        </w:tc>
      </w:tr>
      <w:tr w:rsidR="00495448" w:rsidRPr="007308EE" w:rsidTr="00D65E67">
        <w:trPr>
          <w:trHeight w:val="271"/>
          <w:jc w:val="center"/>
        </w:trPr>
        <w:tc>
          <w:tcPr>
            <w:tcW w:w="2737" w:type="dxa"/>
            <w:tcBorders>
              <w:top w:val="nil"/>
              <w:left w:val="single" w:sz="12" w:space="0" w:color="auto"/>
              <w:bottom w:val="single" w:sz="4" w:space="0" w:color="auto"/>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ŠKODA SUPERB</w:t>
            </w:r>
          </w:p>
        </w:tc>
        <w:tc>
          <w:tcPr>
            <w:tcW w:w="1587" w:type="dxa"/>
            <w:tcBorders>
              <w:top w:val="nil"/>
              <w:left w:val="nil"/>
              <w:bottom w:val="single" w:sz="4" w:space="0" w:color="auto"/>
              <w:right w:val="single" w:sz="12" w:space="0" w:color="auto"/>
            </w:tcBorders>
            <w:shd w:val="clear" w:color="auto" w:fill="auto"/>
            <w:noWrap/>
            <w:vAlign w:val="bottom"/>
            <w:hideMark/>
          </w:tcPr>
          <w:p w:rsidR="00495448" w:rsidRPr="007308EE" w:rsidRDefault="00FA67D6" w:rsidP="00495448">
            <w:pPr>
              <w:spacing w:after="0" w:line="240" w:lineRule="auto"/>
              <w:jc w:val="center"/>
              <w:rPr>
                <w:rFonts w:eastAsia="Times New Roman" w:cs="Calibri"/>
                <w:color w:val="000000"/>
                <w:lang w:eastAsia="hr-HR"/>
              </w:rPr>
            </w:pPr>
            <w:r>
              <w:rPr>
                <w:rFonts w:eastAsia="Times New Roman" w:cs="Calibri"/>
                <w:color w:val="000000"/>
                <w:lang w:eastAsia="hr-HR"/>
              </w:rPr>
              <w:t>/</w:t>
            </w:r>
          </w:p>
        </w:tc>
        <w:tc>
          <w:tcPr>
            <w:tcW w:w="1191" w:type="dxa"/>
            <w:tcBorders>
              <w:top w:val="nil"/>
              <w:left w:val="nil"/>
              <w:bottom w:val="single" w:sz="4" w:space="0" w:color="auto"/>
              <w:right w:val="single" w:sz="12" w:space="0" w:color="auto"/>
            </w:tcBorders>
            <w:shd w:val="clear" w:color="auto" w:fill="auto"/>
            <w:noWrap/>
            <w:vAlign w:val="bottom"/>
            <w:hideMark/>
          </w:tcPr>
          <w:p w:rsidR="00495448" w:rsidRPr="007308EE" w:rsidRDefault="00AD5792" w:rsidP="00495448">
            <w:pPr>
              <w:spacing w:after="0" w:line="240" w:lineRule="auto"/>
              <w:jc w:val="center"/>
              <w:rPr>
                <w:rFonts w:eastAsia="Times New Roman" w:cs="Calibri"/>
                <w:color w:val="000000"/>
                <w:lang w:eastAsia="hr-HR"/>
              </w:rPr>
            </w:pPr>
            <w:r>
              <w:rPr>
                <w:rFonts w:eastAsia="Times New Roman" w:cs="Calibri"/>
                <w:color w:val="000000"/>
                <w:lang w:eastAsia="hr-HR"/>
              </w:rPr>
              <w:t>8,02</w:t>
            </w:r>
          </w:p>
        </w:tc>
      </w:tr>
      <w:tr w:rsidR="00495448" w:rsidRPr="007308EE" w:rsidTr="00D65E67">
        <w:trPr>
          <w:trHeight w:val="271"/>
          <w:jc w:val="center"/>
        </w:trPr>
        <w:tc>
          <w:tcPr>
            <w:tcW w:w="2737" w:type="dxa"/>
            <w:tcBorders>
              <w:top w:val="nil"/>
              <w:left w:val="single" w:sz="12" w:space="0" w:color="auto"/>
              <w:bottom w:val="single" w:sz="4" w:space="0" w:color="auto"/>
              <w:right w:val="single" w:sz="12" w:space="0" w:color="auto"/>
            </w:tcBorders>
            <w:shd w:val="clear" w:color="auto" w:fill="auto"/>
            <w:noWrap/>
            <w:vAlign w:val="bottom"/>
            <w:hideMark/>
          </w:tcPr>
          <w:p w:rsidR="00495448" w:rsidRPr="007308EE" w:rsidRDefault="00495448" w:rsidP="006242B9">
            <w:pPr>
              <w:spacing w:after="0" w:line="240" w:lineRule="auto"/>
              <w:rPr>
                <w:rFonts w:eastAsia="Times New Roman" w:cs="Calibri"/>
                <w:color w:val="000000"/>
                <w:lang w:eastAsia="hr-HR"/>
              </w:rPr>
            </w:pPr>
            <w:r w:rsidRPr="007308EE">
              <w:rPr>
                <w:rFonts w:eastAsia="Times New Roman" w:cs="Calibri"/>
                <w:color w:val="000000"/>
                <w:lang w:eastAsia="hr-HR"/>
              </w:rPr>
              <w:t xml:space="preserve">ŠKODA OCTAVIA </w:t>
            </w:r>
          </w:p>
        </w:tc>
        <w:tc>
          <w:tcPr>
            <w:tcW w:w="1587" w:type="dxa"/>
            <w:tcBorders>
              <w:top w:val="nil"/>
              <w:left w:val="nil"/>
              <w:bottom w:val="single" w:sz="4" w:space="0" w:color="auto"/>
              <w:right w:val="single" w:sz="12" w:space="0" w:color="auto"/>
            </w:tcBorders>
            <w:shd w:val="clear" w:color="auto" w:fill="auto"/>
            <w:noWrap/>
            <w:vAlign w:val="bottom"/>
            <w:hideMark/>
          </w:tcPr>
          <w:p w:rsidR="00495448" w:rsidRPr="007308EE" w:rsidRDefault="00495448" w:rsidP="00495448">
            <w:pPr>
              <w:spacing w:after="0" w:line="240" w:lineRule="auto"/>
              <w:jc w:val="center"/>
              <w:rPr>
                <w:rFonts w:eastAsia="Times New Roman" w:cs="Calibri"/>
                <w:color w:val="000000"/>
                <w:lang w:eastAsia="hr-HR"/>
              </w:rPr>
            </w:pPr>
            <w:r w:rsidRPr="007308EE">
              <w:rPr>
                <w:rFonts w:eastAsia="Times New Roman" w:cs="Calibri"/>
                <w:color w:val="000000"/>
                <w:lang w:eastAsia="hr-HR"/>
              </w:rPr>
              <w:t>/</w:t>
            </w:r>
          </w:p>
        </w:tc>
        <w:tc>
          <w:tcPr>
            <w:tcW w:w="1191" w:type="dxa"/>
            <w:tcBorders>
              <w:top w:val="nil"/>
              <w:left w:val="nil"/>
              <w:bottom w:val="single" w:sz="4" w:space="0" w:color="auto"/>
              <w:right w:val="single" w:sz="12" w:space="0" w:color="auto"/>
            </w:tcBorders>
            <w:shd w:val="clear" w:color="auto" w:fill="auto"/>
            <w:noWrap/>
            <w:vAlign w:val="bottom"/>
            <w:hideMark/>
          </w:tcPr>
          <w:p w:rsidR="00495448" w:rsidRPr="007308EE" w:rsidRDefault="00AD5792" w:rsidP="00495448">
            <w:pPr>
              <w:spacing w:after="0" w:line="240" w:lineRule="auto"/>
              <w:jc w:val="center"/>
              <w:rPr>
                <w:rFonts w:eastAsia="Times New Roman" w:cs="Calibri"/>
                <w:color w:val="000000"/>
                <w:lang w:eastAsia="hr-HR"/>
              </w:rPr>
            </w:pPr>
            <w:r>
              <w:rPr>
                <w:rFonts w:eastAsia="Times New Roman" w:cs="Calibri"/>
                <w:color w:val="000000"/>
                <w:lang w:eastAsia="hr-HR"/>
              </w:rPr>
              <w:t>6,58</w:t>
            </w:r>
          </w:p>
        </w:tc>
      </w:tr>
      <w:tr w:rsidR="00495448" w:rsidRPr="007308EE" w:rsidTr="00D65E67">
        <w:trPr>
          <w:trHeight w:val="271"/>
          <w:jc w:val="center"/>
        </w:trPr>
        <w:tc>
          <w:tcPr>
            <w:tcW w:w="2737" w:type="dxa"/>
            <w:tcBorders>
              <w:top w:val="nil"/>
              <w:left w:val="single" w:sz="12" w:space="0" w:color="auto"/>
              <w:bottom w:val="single" w:sz="4" w:space="0" w:color="auto"/>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VW POLO</w:t>
            </w:r>
          </w:p>
        </w:tc>
        <w:tc>
          <w:tcPr>
            <w:tcW w:w="1587" w:type="dxa"/>
            <w:tcBorders>
              <w:top w:val="nil"/>
              <w:left w:val="nil"/>
              <w:bottom w:val="single" w:sz="4" w:space="0" w:color="auto"/>
              <w:right w:val="single" w:sz="12" w:space="0" w:color="auto"/>
            </w:tcBorders>
            <w:shd w:val="clear" w:color="auto" w:fill="auto"/>
            <w:noWrap/>
            <w:vAlign w:val="bottom"/>
            <w:hideMark/>
          </w:tcPr>
          <w:p w:rsidR="00495448" w:rsidRPr="007308EE" w:rsidRDefault="00AD5792" w:rsidP="00495448">
            <w:pPr>
              <w:spacing w:after="0" w:line="240" w:lineRule="auto"/>
              <w:jc w:val="center"/>
              <w:rPr>
                <w:rFonts w:eastAsia="Times New Roman" w:cs="Calibri"/>
                <w:color w:val="000000"/>
                <w:lang w:eastAsia="hr-HR"/>
              </w:rPr>
            </w:pPr>
            <w:r>
              <w:rPr>
                <w:rFonts w:eastAsia="Times New Roman" w:cs="Calibri"/>
                <w:color w:val="000000"/>
                <w:lang w:eastAsia="hr-HR"/>
              </w:rPr>
              <w:t>7,13</w:t>
            </w:r>
          </w:p>
        </w:tc>
        <w:tc>
          <w:tcPr>
            <w:tcW w:w="1191" w:type="dxa"/>
            <w:tcBorders>
              <w:top w:val="nil"/>
              <w:left w:val="nil"/>
              <w:bottom w:val="single" w:sz="4" w:space="0" w:color="auto"/>
              <w:right w:val="single" w:sz="12" w:space="0" w:color="auto"/>
            </w:tcBorders>
            <w:shd w:val="clear" w:color="auto" w:fill="auto"/>
            <w:noWrap/>
            <w:vAlign w:val="bottom"/>
            <w:hideMark/>
          </w:tcPr>
          <w:p w:rsidR="00495448" w:rsidRPr="007308EE" w:rsidRDefault="00FA67D6" w:rsidP="00495448">
            <w:pPr>
              <w:spacing w:after="0" w:line="240" w:lineRule="auto"/>
              <w:jc w:val="center"/>
              <w:rPr>
                <w:rFonts w:eastAsia="Times New Roman" w:cs="Calibri"/>
                <w:color w:val="000000"/>
                <w:lang w:eastAsia="hr-HR"/>
              </w:rPr>
            </w:pPr>
            <w:r>
              <w:rPr>
                <w:rFonts w:eastAsia="Times New Roman" w:cs="Calibri"/>
                <w:color w:val="000000"/>
                <w:lang w:eastAsia="hr-HR"/>
              </w:rPr>
              <w:t>/</w:t>
            </w:r>
          </w:p>
        </w:tc>
      </w:tr>
      <w:tr w:rsidR="00495448" w:rsidRPr="007308EE" w:rsidTr="00D65E67">
        <w:trPr>
          <w:trHeight w:val="285"/>
          <w:jc w:val="center"/>
        </w:trPr>
        <w:tc>
          <w:tcPr>
            <w:tcW w:w="2737" w:type="dxa"/>
            <w:tcBorders>
              <w:top w:val="nil"/>
              <w:left w:val="single" w:sz="12" w:space="0" w:color="auto"/>
              <w:bottom w:val="single" w:sz="12" w:space="0" w:color="auto"/>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VW PASSAT</w:t>
            </w:r>
          </w:p>
        </w:tc>
        <w:tc>
          <w:tcPr>
            <w:tcW w:w="1587" w:type="dxa"/>
            <w:tcBorders>
              <w:top w:val="nil"/>
              <w:left w:val="nil"/>
              <w:bottom w:val="single" w:sz="12" w:space="0" w:color="auto"/>
              <w:right w:val="single" w:sz="12" w:space="0" w:color="auto"/>
            </w:tcBorders>
            <w:shd w:val="clear" w:color="auto" w:fill="auto"/>
            <w:noWrap/>
            <w:vAlign w:val="bottom"/>
            <w:hideMark/>
          </w:tcPr>
          <w:p w:rsidR="00495448" w:rsidRPr="007308EE" w:rsidRDefault="00FA67D6" w:rsidP="00495448">
            <w:pPr>
              <w:spacing w:after="0" w:line="240" w:lineRule="auto"/>
              <w:jc w:val="center"/>
              <w:rPr>
                <w:rFonts w:eastAsia="Times New Roman" w:cs="Calibri"/>
                <w:color w:val="000000"/>
                <w:lang w:eastAsia="hr-HR"/>
              </w:rPr>
            </w:pPr>
            <w:r>
              <w:rPr>
                <w:rFonts w:eastAsia="Times New Roman" w:cs="Calibri"/>
                <w:color w:val="000000"/>
                <w:lang w:eastAsia="hr-HR"/>
              </w:rPr>
              <w:t>/</w:t>
            </w:r>
          </w:p>
        </w:tc>
        <w:tc>
          <w:tcPr>
            <w:tcW w:w="1191" w:type="dxa"/>
            <w:tcBorders>
              <w:top w:val="nil"/>
              <w:left w:val="nil"/>
              <w:bottom w:val="single" w:sz="4" w:space="0" w:color="auto"/>
              <w:right w:val="single" w:sz="12" w:space="0" w:color="auto"/>
            </w:tcBorders>
            <w:shd w:val="clear" w:color="auto" w:fill="auto"/>
            <w:noWrap/>
            <w:vAlign w:val="bottom"/>
            <w:hideMark/>
          </w:tcPr>
          <w:p w:rsidR="00AD5792" w:rsidRPr="007308EE" w:rsidRDefault="00AD5792" w:rsidP="00AD5792">
            <w:pPr>
              <w:spacing w:after="0" w:line="240" w:lineRule="auto"/>
              <w:jc w:val="center"/>
              <w:rPr>
                <w:rFonts w:eastAsia="Times New Roman" w:cs="Calibri"/>
                <w:color w:val="000000"/>
                <w:lang w:eastAsia="hr-HR"/>
              </w:rPr>
            </w:pPr>
            <w:r>
              <w:rPr>
                <w:rFonts w:eastAsia="Times New Roman" w:cs="Calibri"/>
                <w:color w:val="000000"/>
                <w:lang w:eastAsia="hr-HR"/>
              </w:rPr>
              <w:t>7,67</w:t>
            </w:r>
          </w:p>
        </w:tc>
      </w:tr>
      <w:tr w:rsidR="00495448" w:rsidRPr="007308EE" w:rsidTr="00D65E67">
        <w:trPr>
          <w:trHeight w:val="297"/>
          <w:jc w:val="center"/>
        </w:trPr>
        <w:tc>
          <w:tcPr>
            <w:tcW w:w="2737" w:type="dxa"/>
            <w:tcBorders>
              <w:top w:val="nil"/>
              <w:left w:val="single" w:sz="12" w:space="0" w:color="auto"/>
              <w:bottom w:val="single" w:sz="12" w:space="0" w:color="auto"/>
              <w:right w:val="single" w:sz="12" w:space="0" w:color="auto"/>
            </w:tcBorders>
            <w:shd w:val="clear" w:color="auto" w:fill="auto"/>
            <w:noWrap/>
            <w:vAlign w:val="bottom"/>
            <w:hideMark/>
          </w:tcPr>
          <w:p w:rsidR="00495448" w:rsidRPr="007308EE" w:rsidRDefault="00495448" w:rsidP="00495448">
            <w:pPr>
              <w:spacing w:after="0" w:line="240" w:lineRule="auto"/>
              <w:rPr>
                <w:rFonts w:eastAsia="Times New Roman" w:cs="Calibri"/>
                <w:color w:val="000000"/>
                <w:lang w:eastAsia="hr-HR"/>
              </w:rPr>
            </w:pPr>
            <w:r w:rsidRPr="007308EE">
              <w:rPr>
                <w:rFonts w:eastAsia="Times New Roman" w:cs="Calibri"/>
                <w:color w:val="000000"/>
                <w:lang w:eastAsia="hr-HR"/>
              </w:rPr>
              <w:t>PROSJEK</w:t>
            </w:r>
          </w:p>
        </w:tc>
        <w:tc>
          <w:tcPr>
            <w:tcW w:w="1587" w:type="dxa"/>
            <w:tcBorders>
              <w:top w:val="nil"/>
              <w:left w:val="nil"/>
              <w:bottom w:val="single" w:sz="12" w:space="0" w:color="auto"/>
              <w:right w:val="nil"/>
            </w:tcBorders>
            <w:shd w:val="clear" w:color="auto" w:fill="auto"/>
            <w:noWrap/>
            <w:vAlign w:val="bottom"/>
            <w:hideMark/>
          </w:tcPr>
          <w:p w:rsidR="00495448" w:rsidRPr="007308EE" w:rsidRDefault="00AD5792" w:rsidP="00495448">
            <w:pPr>
              <w:spacing w:after="0" w:line="240" w:lineRule="auto"/>
              <w:jc w:val="center"/>
              <w:rPr>
                <w:rFonts w:eastAsia="Times New Roman" w:cs="Calibri"/>
                <w:color w:val="000000"/>
                <w:lang w:eastAsia="hr-HR"/>
              </w:rPr>
            </w:pPr>
            <w:r>
              <w:rPr>
                <w:rFonts w:eastAsia="Times New Roman" w:cs="Calibri"/>
                <w:color w:val="000000"/>
                <w:lang w:eastAsia="hr-HR"/>
              </w:rPr>
              <w:t>7,13</w:t>
            </w:r>
          </w:p>
        </w:tc>
        <w:tc>
          <w:tcPr>
            <w:tcW w:w="119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495448" w:rsidRPr="007308EE" w:rsidRDefault="00AD5792" w:rsidP="00716040">
            <w:pPr>
              <w:spacing w:after="0" w:line="240" w:lineRule="auto"/>
              <w:jc w:val="center"/>
              <w:rPr>
                <w:rFonts w:eastAsia="Times New Roman" w:cs="Calibri"/>
                <w:color w:val="000000"/>
                <w:lang w:eastAsia="hr-HR"/>
              </w:rPr>
            </w:pPr>
            <w:r>
              <w:rPr>
                <w:rFonts w:eastAsia="Times New Roman" w:cs="Calibri"/>
                <w:color w:val="000000"/>
                <w:lang w:eastAsia="hr-HR"/>
              </w:rPr>
              <w:t>7,21</w:t>
            </w:r>
          </w:p>
        </w:tc>
      </w:tr>
    </w:tbl>
    <w:p w:rsidR="00495448" w:rsidRDefault="00495448" w:rsidP="00BC5C26">
      <w:pPr>
        <w:spacing w:after="120" w:line="276" w:lineRule="auto"/>
        <w:ind w:right="-46"/>
        <w:jc w:val="both"/>
        <w:rPr>
          <w:rFonts w:eastAsia="Times New Roman" w:cstheme="minorHAnsi"/>
          <w:lang w:eastAsia="hr-HR"/>
        </w:rPr>
      </w:pPr>
    </w:p>
    <w:p w:rsidR="00E7788B" w:rsidRDefault="00E7788B" w:rsidP="00BC5C26">
      <w:pPr>
        <w:spacing w:after="120" w:line="276" w:lineRule="auto"/>
        <w:ind w:right="-46"/>
        <w:jc w:val="both"/>
        <w:rPr>
          <w:rFonts w:eastAsia="Times New Roman" w:cstheme="minorHAnsi"/>
          <w:b/>
          <w:lang w:eastAsia="hr-HR"/>
        </w:rPr>
      </w:pPr>
      <w:r>
        <w:rPr>
          <w:rFonts w:eastAsia="Times New Roman" w:cstheme="minorHAnsi"/>
          <w:lang w:eastAsia="hr-HR"/>
        </w:rPr>
        <w:t xml:space="preserve">U skladu s dostavljenim podacima </w:t>
      </w:r>
      <w:r w:rsidR="00F62295">
        <w:rPr>
          <w:rFonts w:eastAsia="Times New Roman" w:cstheme="minorHAnsi"/>
          <w:lang w:eastAsia="hr-HR"/>
        </w:rPr>
        <w:t>o potrošnji goriva za vozila u voznom parku Minista</w:t>
      </w:r>
      <w:r w:rsidR="00873295">
        <w:rPr>
          <w:rFonts w:eastAsia="Times New Roman" w:cstheme="minorHAnsi"/>
          <w:lang w:eastAsia="hr-HR"/>
        </w:rPr>
        <w:t>rstva unutarnjih poslova za 202</w:t>
      </w:r>
      <w:r w:rsidR="00F942CA">
        <w:rPr>
          <w:rFonts w:eastAsia="Times New Roman" w:cstheme="minorHAnsi"/>
          <w:lang w:eastAsia="hr-HR"/>
        </w:rPr>
        <w:t>5</w:t>
      </w:r>
      <w:r>
        <w:rPr>
          <w:rFonts w:eastAsia="Times New Roman" w:cstheme="minorHAnsi"/>
          <w:lang w:eastAsia="hr-HR"/>
        </w:rPr>
        <w:t>. godinu</w:t>
      </w:r>
      <w:r w:rsidR="00BC5C26" w:rsidRPr="00E353D7">
        <w:rPr>
          <w:rFonts w:eastAsia="Times New Roman" w:cstheme="minorHAnsi"/>
          <w:lang w:eastAsia="hr-HR"/>
        </w:rPr>
        <w:t xml:space="preserve">, vozila Ministarstva unutarnjih poslova RH u prosjeku troše </w:t>
      </w:r>
      <w:r w:rsidR="00AD5792">
        <w:rPr>
          <w:rFonts w:eastAsia="Times New Roman" w:cstheme="minorHAnsi"/>
          <w:lang w:eastAsia="hr-HR"/>
        </w:rPr>
        <w:t>7</w:t>
      </w:r>
      <w:r w:rsidR="00495448">
        <w:rPr>
          <w:rFonts w:eastAsia="Times New Roman" w:cstheme="minorHAnsi"/>
          <w:lang w:eastAsia="hr-HR"/>
        </w:rPr>
        <w:t>,</w:t>
      </w:r>
      <w:r w:rsidR="00716040">
        <w:rPr>
          <w:rFonts w:eastAsia="Times New Roman" w:cstheme="minorHAnsi"/>
          <w:lang w:eastAsia="hr-HR"/>
        </w:rPr>
        <w:t>1</w:t>
      </w:r>
      <w:r w:rsidR="00AD5792">
        <w:rPr>
          <w:rFonts w:eastAsia="Times New Roman" w:cstheme="minorHAnsi"/>
          <w:lang w:eastAsia="hr-HR"/>
        </w:rPr>
        <w:t>7</w:t>
      </w:r>
      <w:r w:rsidR="00495448">
        <w:rPr>
          <w:rFonts w:eastAsia="Times New Roman" w:cstheme="minorHAnsi"/>
          <w:lang w:eastAsia="hr-HR"/>
        </w:rPr>
        <w:t xml:space="preserve"> litara</w:t>
      </w:r>
      <w:r w:rsidR="00BC5C26" w:rsidRPr="00E353D7">
        <w:rPr>
          <w:rFonts w:eastAsia="Times New Roman" w:cstheme="minorHAnsi"/>
          <w:lang w:eastAsia="hr-HR"/>
        </w:rPr>
        <w:t xml:space="preserve"> na 100 kilometara odnosno </w:t>
      </w:r>
      <w:r w:rsidR="00716040">
        <w:rPr>
          <w:rFonts w:eastAsia="Times New Roman" w:cstheme="minorHAnsi"/>
          <w:b/>
          <w:lang w:eastAsia="hr-HR"/>
        </w:rPr>
        <w:t>0,</w:t>
      </w:r>
      <w:r w:rsidR="00AD5792">
        <w:rPr>
          <w:rFonts w:eastAsia="Times New Roman" w:cstheme="minorHAnsi"/>
          <w:b/>
          <w:lang w:eastAsia="hr-HR"/>
        </w:rPr>
        <w:t>07</w:t>
      </w:r>
      <w:r w:rsidR="00BC5C26" w:rsidRPr="00E353D7">
        <w:rPr>
          <w:rFonts w:eastAsia="Times New Roman" w:cstheme="minorHAnsi"/>
          <w:b/>
          <w:lang w:eastAsia="hr-HR"/>
        </w:rPr>
        <w:t xml:space="preserve"> litara po kilometru.</w:t>
      </w:r>
    </w:p>
    <w:p w:rsidR="00495448" w:rsidRDefault="00495448" w:rsidP="00BC5C26">
      <w:pPr>
        <w:spacing w:after="120" w:line="276" w:lineRule="auto"/>
        <w:ind w:right="-46"/>
        <w:jc w:val="both"/>
        <w:rPr>
          <w:rFonts w:eastAsia="Times New Roman" w:cstheme="minorHAnsi"/>
          <w:b/>
          <w:lang w:eastAsia="hr-HR"/>
        </w:rPr>
      </w:pPr>
    </w:p>
    <w:p w:rsidR="0074533A" w:rsidRDefault="0074533A" w:rsidP="00BC5C26">
      <w:pPr>
        <w:spacing w:after="120" w:line="276" w:lineRule="auto"/>
        <w:ind w:right="-46"/>
        <w:jc w:val="both"/>
        <w:rPr>
          <w:rFonts w:eastAsia="Times New Roman" w:cstheme="minorHAnsi"/>
          <w:b/>
          <w:lang w:eastAsia="hr-HR"/>
        </w:rPr>
      </w:pPr>
    </w:p>
    <w:p w:rsidR="0074533A" w:rsidRDefault="0074533A" w:rsidP="00BC5C26">
      <w:pPr>
        <w:spacing w:after="120" w:line="276" w:lineRule="auto"/>
        <w:ind w:right="-46"/>
        <w:jc w:val="both"/>
        <w:rPr>
          <w:rFonts w:eastAsia="Times New Roman" w:cstheme="minorHAnsi"/>
          <w:b/>
          <w:lang w:eastAsia="hr-HR"/>
        </w:rPr>
      </w:pPr>
    </w:p>
    <w:p w:rsidR="0074533A" w:rsidRPr="00E7788B" w:rsidRDefault="0074533A" w:rsidP="00BC5C26">
      <w:pPr>
        <w:spacing w:after="120" w:line="276" w:lineRule="auto"/>
        <w:ind w:right="-46"/>
        <w:jc w:val="both"/>
        <w:rPr>
          <w:rFonts w:eastAsia="Times New Roman" w:cstheme="minorHAnsi"/>
          <w:b/>
          <w:lang w:eastAsia="hr-HR"/>
        </w:rPr>
      </w:pPr>
      <w:bookmarkStart w:id="4" w:name="_GoBack"/>
      <w:bookmarkEnd w:id="4"/>
    </w:p>
    <w:p w:rsidR="00BC5C26" w:rsidRDefault="00BC5C26" w:rsidP="00BC5C26">
      <w:pPr>
        <w:pStyle w:val="Odlomakpopisa"/>
        <w:numPr>
          <w:ilvl w:val="1"/>
          <w:numId w:val="1"/>
        </w:numPr>
        <w:spacing w:after="120" w:line="276" w:lineRule="auto"/>
        <w:ind w:right="-46"/>
        <w:jc w:val="both"/>
        <w:outlineLvl w:val="1"/>
        <w:rPr>
          <w:rFonts w:eastAsia="Times New Roman" w:cstheme="minorHAnsi"/>
          <w:b/>
          <w:lang w:eastAsia="hr-HR"/>
        </w:rPr>
      </w:pPr>
      <w:bookmarkStart w:id="5" w:name="_Toc192229232"/>
      <w:r w:rsidRPr="00BF24D3">
        <w:rPr>
          <w:rFonts w:eastAsia="Times New Roman" w:cstheme="minorHAnsi"/>
          <w:b/>
          <w:lang w:eastAsia="hr-HR"/>
        </w:rPr>
        <w:t>Prosječna cijena goriva</w:t>
      </w:r>
      <w:bookmarkEnd w:id="5"/>
    </w:p>
    <w:p w:rsidR="00BC5C26" w:rsidRPr="0058484C" w:rsidRDefault="00BC5C26" w:rsidP="00BC5C26">
      <w:pPr>
        <w:ind w:left="360"/>
        <w:jc w:val="both"/>
        <w:rPr>
          <w:rFonts w:eastAsia="Times New Roman" w:cstheme="minorHAnsi"/>
          <w:i/>
          <w:lang w:eastAsia="hr-HR"/>
        </w:rPr>
      </w:pPr>
      <w:r w:rsidRPr="0058484C">
        <w:rPr>
          <w:rFonts w:eastAsia="Times New Roman" w:cstheme="minorHAnsi"/>
          <w:i/>
          <w:lang w:eastAsia="hr-HR"/>
        </w:rPr>
        <w:t xml:space="preserve">Tablica 2. Prosječne cijene goriva svakog </w:t>
      </w:r>
      <w:r w:rsidR="00873295">
        <w:rPr>
          <w:rFonts w:eastAsia="Times New Roman" w:cstheme="minorHAnsi"/>
          <w:i/>
          <w:lang w:eastAsia="hr-HR"/>
        </w:rPr>
        <w:t xml:space="preserve">drugog </w:t>
      </w:r>
      <w:r w:rsidR="00A06234">
        <w:rPr>
          <w:rFonts w:eastAsia="Times New Roman" w:cstheme="minorHAnsi"/>
          <w:i/>
          <w:lang w:eastAsia="hr-HR"/>
        </w:rPr>
        <w:t>utorka</w:t>
      </w:r>
      <w:r w:rsidR="00FA67D6">
        <w:rPr>
          <w:rFonts w:eastAsia="Times New Roman" w:cstheme="minorHAnsi"/>
          <w:i/>
          <w:lang w:eastAsia="hr-HR"/>
        </w:rPr>
        <w:t xml:space="preserve"> do 15. srpnja, a nadalje svakog utorka u 2025. godini</w:t>
      </w:r>
      <w:r w:rsidRPr="0058484C">
        <w:rPr>
          <w:rFonts w:eastAsia="Times New Roman" w:cstheme="minorHAnsi"/>
          <w:i/>
          <w:lang w:eastAsia="hr-HR"/>
        </w:rPr>
        <w:t xml:space="preserve"> (izvor: Ministarstvo</w:t>
      </w:r>
      <w:r w:rsidR="00873295">
        <w:rPr>
          <w:rFonts w:eastAsia="Times New Roman" w:cstheme="minorHAnsi"/>
          <w:i/>
          <w:lang w:eastAsia="hr-HR"/>
        </w:rPr>
        <w:t xml:space="preserve"> gospodarstva</w:t>
      </w:r>
      <w:r w:rsidRPr="0058484C">
        <w:rPr>
          <w:rFonts w:eastAsia="Times New Roman" w:cstheme="minorHAnsi"/>
          <w:i/>
          <w:lang w:eastAsia="hr-HR"/>
        </w:rPr>
        <w:t>)</w:t>
      </w:r>
    </w:p>
    <w:tbl>
      <w:tblPr>
        <w:tblW w:w="6015" w:type="dxa"/>
        <w:jc w:val="center"/>
        <w:tblLook w:val="04A0" w:firstRow="1" w:lastRow="0" w:firstColumn="1" w:lastColumn="0" w:noHBand="0" w:noVBand="1"/>
      </w:tblPr>
      <w:tblGrid>
        <w:gridCol w:w="1833"/>
        <w:gridCol w:w="1144"/>
        <w:gridCol w:w="899"/>
        <w:gridCol w:w="1144"/>
        <w:gridCol w:w="995"/>
      </w:tblGrid>
      <w:tr w:rsidR="00A06234" w:rsidRPr="003D7984" w:rsidTr="000A1F75">
        <w:trPr>
          <w:trHeight w:val="273"/>
          <w:jc w:val="center"/>
        </w:trPr>
        <w:tc>
          <w:tcPr>
            <w:tcW w:w="1833" w:type="dxa"/>
            <w:vMerge w:val="restart"/>
            <w:tcBorders>
              <w:top w:val="single" w:sz="18" w:space="0" w:color="000000"/>
              <w:left w:val="single" w:sz="18" w:space="0" w:color="000000"/>
              <w:bottom w:val="single" w:sz="18" w:space="0" w:color="000000"/>
              <w:right w:val="single" w:sz="12" w:space="0" w:color="auto"/>
            </w:tcBorders>
            <w:shd w:val="clear" w:color="auto" w:fill="auto"/>
            <w:noWrap/>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lastRenderedPageBreak/>
              <w:t>DATUM</w:t>
            </w:r>
          </w:p>
        </w:tc>
        <w:tc>
          <w:tcPr>
            <w:tcW w:w="2043" w:type="dxa"/>
            <w:gridSpan w:val="2"/>
            <w:tcBorders>
              <w:top w:val="single" w:sz="18" w:space="0" w:color="000000"/>
              <w:left w:val="single" w:sz="12" w:space="0" w:color="auto"/>
              <w:bottom w:val="single" w:sz="18" w:space="0" w:color="000000"/>
              <w:right w:val="single" w:sz="12" w:space="0" w:color="auto"/>
            </w:tcBorders>
            <w:shd w:val="clear" w:color="auto" w:fill="FFF2CC" w:themeFill="accent4" w:themeFillTint="33"/>
            <w:noWrap/>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EUROSUPER 95</w:t>
            </w:r>
          </w:p>
        </w:tc>
        <w:tc>
          <w:tcPr>
            <w:tcW w:w="2139" w:type="dxa"/>
            <w:gridSpan w:val="2"/>
            <w:tcBorders>
              <w:top w:val="single" w:sz="18" w:space="0" w:color="000000"/>
              <w:left w:val="single" w:sz="12" w:space="0" w:color="auto"/>
              <w:bottom w:val="single" w:sz="18" w:space="0" w:color="000000"/>
              <w:right w:val="single" w:sz="18" w:space="0" w:color="000000"/>
            </w:tcBorders>
            <w:shd w:val="clear" w:color="auto" w:fill="E7E6E6" w:themeFill="background2"/>
            <w:noWrap/>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EURODIZEL</w:t>
            </w:r>
          </w:p>
        </w:tc>
      </w:tr>
      <w:tr w:rsidR="00A06234" w:rsidRPr="003D7984" w:rsidTr="000A1F75">
        <w:trPr>
          <w:trHeight w:val="521"/>
          <w:jc w:val="center"/>
        </w:trPr>
        <w:tc>
          <w:tcPr>
            <w:tcW w:w="1833" w:type="dxa"/>
            <w:vMerge/>
            <w:tcBorders>
              <w:top w:val="single" w:sz="18" w:space="0" w:color="000000"/>
              <w:left w:val="single" w:sz="18" w:space="0" w:color="000000"/>
              <w:bottom w:val="single" w:sz="12" w:space="0" w:color="auto"/>
              <w:right w:val="single" w:sz="12" w:space="0" w:color="auto"/>
            </w:tcBorders>
            <w:vAlign w:val="center"/>
            <w:hideMark/>
          </w:tcPr>
          <w:p w:rsidR="00A06234" w:rsidRPr="003D7984" w:rsidRDefault="00A06234" w:rsidP="00A06234">
            <w:pPr>
              <w:spacing w:after="0" w:line="240" w:lineRule="auto"/>
              <w:rPr>
                <w:rFonts w:ascii="Calibri" w:eastAsia="Times New Roman" w:hAnsi="Calibri" w:cs="Calibri"/>
                <w:color w:val="000000"/>
                <w:lang w:eastAsia="hr-HR"/>
              </w:rPr>
            </w:pPr>
          </w:p>
        </w:tc>
        <w:tc>
          <w:tcPr>
            <w:tcW w:w="1144" w:type="dxa"/>
            <w:tcBorders>
              <w:top w:val="single" w:sz="18" w:space="0" w:color="000000"/>
              <w:left w:val="single" w:sz="12" w:space="0" w:color="auto"/>
              <w:bottom w:val="single" w:sz="12" w:space="0" w:color="auto"/>
              <w:right w:val="single" w:sz="12" w:space="0" w:color="auto"/>
            </w:tcBorders>
            <w:shd w:val="clear" w:color="auto" w:fill="0AF0F6"/>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S MJERAMA VLADE</w:t>
            </w:r>
          </w:p>
        </w:tc>
        <w:tc>
          <w:tcPr>
            <w:tcW w:w="899" w:type="dxa"/>
            <w:tcBorders>
              <w:top w:val="single" w:sz="12" w:space="0" w:color="auto"/>
              <w:left w:val="single" w:sz="12" w:space="0" w:color="auto"/>
              <w:bottom w:val="single" w:sz="12" w:space="0" w:color="auto"/>
              <w:right w:val="single" w:sz="12" w:space="0" w:color="auto"/>
            </w:tcBorders>
            <w:shd w:val="clear" w:color="000000" w:fill="B2B2B2"/>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BEZ MJERA VLADE</w:t>
            </w:r>
          </w:p>
        </w:tc>
        <w:tc>
          <w:tcPr>
            <w:tcW w:w="1144" w:type="dxa"/>
            <w:tcBorders>
              <w:top w:val="single" w:sz="12" w:space="0" w:color="auto"/>
              <w:left w:val="single" w:sz="12" w:space="0" w:color="auto"/>
              <w:bottom w:val="single" w:sz="12" w:space="0" w:color="auto"/>
              <w:right w:val="single" w:sz="12" w:space="0" w:color="auto"/>
            </w:tcBorders>
            <w:shd w:val="clear" w:color="auto" w:fill="0AF0F6"/>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S MJERAMA VLADE</w:t>
            </w:r>
          </w:p>
        </w:tc>
        <w:tc>
          <w:tcPr>
            <w:tcW w:w="995" w:type="dxa"/>
            <w:tcBorders>
              <w:top w:val="single" w:sz="18" w:space="0" w:color="000000"/>
              <w:left w:val="single" w:sz="12" w:space="0" w:color="auto"/>
              <w:bottom w:val="single" w:sz="12" w:space="0" w:color="auto"/>
              <w:right w:val="single" w:sz="18" w:space="0" w:color="000000"/>
            </w:tcBorders>
            <w:shd w:val="clear" w:color="000000" w:fill="B2B2B2"/>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BEZ MJERA VLADE</w:t>
            </w:r>
          </w:p>
        </w:tc>
      </w:tr>
      <w:tr w:rsidR="00834B10" w:rsidRPr="003D7984" w:rsidTr="000A1F75">
        <w:trPr>
          <w:trHeight w:val="273"/>
          <w:jc w:val="center"/>
        </w:trPr>
        <w:tc>
          <w:tcPr>
            <w:tcW w:w="1833" w:type="dxa"/>
            <w:tcBorders>
              <w:top w:val="single" w:sz="12"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14.01.2025</w:t>
            </w:r>
            <w:r w:rsidRPr="003D7984">
              <w:rPr>
                <w:rFonts w:ascii="Calibri" w:eastAsia="Times New Roman" w:hAnsi="Calibri" w:cs="Calibri"/>
                <w:color w:val="000000"/>
                <w:lang w:eastAsia="hr-HR"/>
              </w:rPr>
              <w:t>.</w:t>
            </w:r>
          </w:p>
        </w:tc>
        <w:tc>
          <w:tcPr>
            <w:tcW w:w="1144" w:type="dxa"/>
            <w:tcBorders>
              <w:top w:val="single" w:sz="12" w:space="0" w:color="auto"/>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1,50</w:t>
            </w:r>
          </w:p>
        </w:tc>
        <w:tc>
          <w:tcPr>
            <w:tcW w:w="899" w:type="dxa"/>
            <w:tcBorders>
              <w:top w:val="single" w:sz="12" w:space="0" w:color="auto"/>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1,52</w:t>
            </w:r>
          </w:p>
        </w:tc>
        <w:tc>
          <w:tcPr>
            <w:tcW w:w="1144" w:type="dxa"/>
            <w:tcBorders>
              <w:top w:val="single" w:sz="12"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c>
          <w:tcPr>
            <w:tcW w:w="995" w:type="dxa"/>
            <w:tcBorders>
              <w:top w:val="single" w:sz="12" w:space="0" w:color="auto"/>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1,53</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28.01.2025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1,53</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1,55</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1,47</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1,57</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11.02.2025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1,51</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1,53</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1,53</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25.02.2025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1,51</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1,54</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11.03.2025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1,45</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1,48</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1,50</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25.03.2025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1,35</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1,45</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08.04.2025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1,47</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1,49</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1,47</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22.04.2025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1,38</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1,28</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06.05.2025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1,39</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1,28</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20.05.2025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1,28</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03.06.2025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1,28</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17.06.2025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1,42</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1,30</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1,41</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01.07.2025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1,45</w:t>
            </w:r>
          </w:p>
        </w:tc>
        <w:tc>
          <w:tcPr>
            <w:tcW w:w="899" w:type="dxa"/>
            <w:tcBorders>
              <w:top w:val="nil"/>
              <w:left w:val="single" w:sz="4" w:space="0" w:color="auto"/>
              <w:bottom w:val="single" w:sz="4" w:space="0" w:color="auto"/>
              <w:right w:val="single" w:sz="8" w:space="0" w:color="auto"/>
            </w:tcBorders>
            <w:shd w:val="clear" w:color="auto" w:fill="auto"/>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995" w:type="dxa"/>
            <w:tcBorders>
              <w:top w:val="nil"/>
              <w:left w:val="single" w:sz="4" w:space="0" w:color="auto"/>
              <w:bottom w:val="single" w:sz="4" w:space="0" w:color="auto"/>
              <w:right w:val="single" w:sz="8"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15.07.2025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auto" w:fill="E7E6E6" w:themeFill="background2"/>
            <w:vAlign w:val="center"/>
            <w:hideMark/>
          </w:tcPr>
          <w:p w:rsidR="00834B10" w:rsidRPr="00834B10" w:rsidRDefault="00834B10" w:rsidP="00834B10">
            <w:pPr>
              <w:spacing w:after="0" w:line="240" w:lineRule="auto"/>
              <w:jc w:val="center"/>
              <w:rPr>
                <w:rFonts w:ascii="Calibri" w:eastAsia="Times New Roman" w:hAnsi="Calibri" w:cs="Calibri"/>
                <w:lang w:eastAsia="hr-HR"/>
              </w:rPr>
            </w:pPr>
            <w:r w:rsidRPr="00834B10">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FFFFFF" w:themeFill="background1"/>
            <w:vAlign w:val="center"/>
            <w:hideMark/>
          </w:tcPr>
          <w:p w:rsidR="00834B10" w:rsidRPr="00834B10" w:rsidRDefault="00834B10" w:rsidP="00834B10">
            <w:pPr>
              <w:spacing w:after="0" w:line="240" w:lineRule="auto"/>
              <w:jc w:val="center"/>
              <w:rPr>
                <w:rFonts w:ascii="Calibri" w:eastAsia="Times New Roman" w:hAnsi="Calibri" w:cs="Calibri"/>
                <w:lang w:eastAsia="hr-HR"/>
              </w:rPr>
            </w:pPr>
            <w:r w:rsidRPr="00834B10">
              <w:rPr>
                <w:rFonts w:ascii="Calibri" w:hAnsi="Calibri" w:cs="Calibri"/>
                <w:color w:val="000000"/>
              </w:rPr>
              <w:t>1,45</w:t>
            </w:r>
          </w:p>
        </w:tc>
        <w:tc>
          <w:tcPr>
            <w:tcW w:w="1144"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834B10" w:rsidRPr="00834B10" w:rsidRDefault="00834B10" w:rsidP="00834B10">
            <w:pPr>
              <w:spacing w:after="0" w:line="240" w:lineRule="auto"/>
              <w:jc w:val="center"/>
              <w:rPr>
                <w:rFonts w:ascii="Calibri" w:eastAsia="Times New Roman" w:hAnsi="Calibri" w:cs="Calibri"/>
                <w:color w:val="000000"/>
                <w:lang w:eastAsia="hr-HR"/>
              </w:rPr>
            </w:pPr>
            <w:r w:rsidRPr="00834B10">
              <w:rPr>
                <w:rFonts w:ascii="Calibri" w:hAnsi="Calibri" w:cs="Calibri"/>
                <w:color w:val="000000"/>
              </w:rPr>
              <w:t>1,39</w:t>
            </w:r>
          </w:p>
        </w:tc>
        <w:tc>
          <w:tcPr>
            <w:tcW w:w="995" w:type="dxa"/>
            <w:tcBorders>
              <w:top w:val="nil"/>
              <w:left w:val="single" w:sz="4" w:space="0" w:color="auto"/>
              <w:bottom w:val="single" w:sz="4" w:space="0" w:color="auto"/>
              <w:right w:val="single" w:sz="8" w:space="0" w:color="auto"/>
            </w:tcBorders>
            <w:shd w:val="clear" w:color="auto" w:fill="FFFFFF" w:themeFill="background1"/>
            <w:noWrap/>
            <w:vAlign w:val="center"/>
            <w:hideMark/>
          </w:tcPr>
          <w:p w:rsidR="00834B10" w:rsidRPr="00834B10" w:rsidRDefault="00834B10" w:rsidP="00834B10">
            <w:pPr>
              <w:spacing w:after="0" w:line="240" w:lineRule="auto"/>
              <w:jc w:val="center"/>
              <w:rPr>
                <w:rFonts w:ascii="Calibri" w:eastAsia="Times New Roman" w:hAnsi="Calibri" w:cs="Calibri"/>
                <w:color w:val="000000"/>
                <w:lang w:eastAsia="hr-HR"/>
              </w:rPr>
            </w:pPr>
            <w:r w:rsidRPr="00834B10">
              <w:rPr>
                <w:rFonts w:ascii="Calibri" w:hAnsi="Calibri" w:cs="Calibri"/>
                <w:color w:val="000000"/>
              </w:rPr>
              <w:t>1,44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22.07.2025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29.07.2025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1,42</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05.08.2025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1,45</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1,37</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12.08.2025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1,35</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1,40</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19.08.2025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1,42</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1,33</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26.08.2025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1,34</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02.09.2025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1,35</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1,40</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09.09.2025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1,45</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1,37</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16.09.2025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1,45</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1,37</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23.09.2025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30.09.2025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07.10.2025</w:t>
            </w:r>
            <w:r w:rsidRPr="003D7984">
              <w:rPr>
                <w:rFonts w:ascii="Calibri" w:eastAsia="Times New Roman" w:hAnsi="Calibri" w:cs="Calibri"/>
                <w:color w:val="000000"/>
                <w:lang w:eastAsia="hr-HR"/>
              </w:rPr>
              <w:t>.</w:t>
            </w:r>
          </w:p>
        </w:tc>
        <w:tc>
          <w:tcPr>
            <w:tcW w:w="1144" w:type="dxa"/>
            <w:tcBorders>
              <w:top w:val="nil"/>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14.10.2025</w:t>
            </w:r>
            <w:r w:rsidRPr="003D7984">
              <w:rPr>
                <w:rFonts w:ascii="Calibri" w:eastAsia="Times New Roman" w:hAnsi="Calibri" w:cs="Calibri"/>
                <w:color w:val="000000"/>
                <w:lang w:eastAsia="hr-HR"/>
              </w:rPr>
              <w:t>.</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1,39</w:t>
            </w:r>
          </w:p>
        </w:tc>
        <w:tc>
          <w:tcPr>
            <w:tcW w:w="899" w:type="dxa"/>
            <w:tcBorders>
              <w:top w:val="single" w:sz="4" w:space="0" w:color="auto"/>
              <w:left w:val="single" w:sz="4" w:space="0" w:color="auto"/>
              <w:bottom w:val="single" w:sz="4" w:space="0" w:color="auto"/>
              <w:right w:val="single" w:sz="8" w:space="0" w:color="auto"/>
            </w:tcBorders>
            <w:shd w:val="clear" w:color="auto" w:fill="E7E6E6" w:themeFill="background2"/>
            <w:vAlign w:val="center"/>
            <w:hideMark/>
          </w:tcPr>
          <w:p w:rsidR="00834B10" w:rsidRPr="003D7984" w:rsidRDefault="00834B10" w:rsidP="00834B10">
            <w:pPr>
              <w:spacing w:after="0" w:line="240" w:lineRule="auto"/>
              <w:jc w:val="center"/>
              <w:rPr>
                <w:rFonts w:ascii="Calibri" w:eastAsia="Times New Roman" w:hAnsi="Calibri" w:cs="Calibri"/>
                <w:lang w:eastAsia="hr-HR"/>
              </w:rPr>
            </w:pPr>
            <w:r>
              <w:rPr>
                <w:rFonts w:ascii="Calibri" w:hAnsi="Calibri" w:cs="Calibri"/>
                <w:color w:val="000000"/>
              </w:rPr>
              <w:t>1,41</w:t>
            </w:r>
          </w:p>
        </w:tc>
        <w:tc>
          <w:tcPr>
            <w:tcW w:w="11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1,35</w:t>
            </w:r>
          </w:p>
        </w:tc>
        <w:tc>
          <w:tcPr>
            <w:tcW w:w="995" w:type="dxa"/>
            <w:tcBorders>
              <w:top w:val="single" w:sz="4" w:space="0" w:color="auto"/>
              <w:left w:val="single" w:sz="4" w:space="0" w:color="auto"/>
              <w:bottom w:val="single" w:sz="4" w:space="0" w:color="auto"/>
              <w:right w:val="single" w:sz="8" w:space="0" w:color="auto"/>
            </w:tcBorders>
            <w:shd w:val="clear" w:color="auto" w:fill="D0CECE" w:themeFill="background2" w:themeFillShade="E6"/>
            <w:noWrap/>
            <w:vAlign w:val="center"/>
            <w:hideMark/>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1,41</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21.10.2025.</w:t>
            </w:r>
          </w:p>
        </w:tc>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c>
          <w:tcPr>
            <w:tcW w:w="899" w:type="dxa"/>
            <w:tcBorders>
              <w:top w:val="single" w:sz="4" w:space="0" w:color="auto"/>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c>
          <w:tcPr>
            <w:tcW w:w="11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1,33</w:t>
            </w:r>
          </w:p>
        </w:tc>
        <w:tc>
          <w:tcPr>
            <w:tcW w:w="995" w:type="dxa"/>
            <w:tcBorders>
              <w:top w:val="single" w:sz="4" w:space="0" w:color="auto"/>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28.10.2025.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1,40</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04.11.2025.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1,41</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1,40</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1,45</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11.11.2025.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1,48</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18.11.2025.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1,46</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25.11.2025.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1,45</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1,45</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1,51</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02.12.2025.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1,45</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1,44</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09.12.2025.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1,43</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1,42</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16.12.2025.</w:t>
            </w:r>
          </w:p>
        </w:tc>
        <w:tc>
          <w:tcPr>
            <w:tcW w:w="1144" w:type="dxa"/>
            <w:tcBorders>
              <w:top w:val="nil"/>
              <w:left w:val="single" w:sz="4" w:space="0" w:color="auto"/>
              <w:bottom w:val="single" w:sz="4"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c>
          <w:tcPr>
            <w:tcW w:w="899" w:type="dxa"/>
            <w:tcBorders>
              <w:top w:val="nil"/>
              <w:left w:val="single" w:sz="4" w:space="0" w:color="auto"/>
              <w:bottom w:val="single" w:sz="4"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1,40</w:t>
            </w:r>
          </w:p>
        </w:tc>
        <w:tc>
          <w:tcPr>
            <w:tcW w:w="1144" w:type="dxa"/>
            <w:tcBorders>
              <w:top w:val="nil"/>
              <w:left w:val="single" w:sz="4" w:space="0" w:color="auto"/>
              <w:bottom w:val="single" w:sz="4"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1,33</w:t>
            </w:r>
          </w:p>
        </w:tc>
        <w:tc>
          <w:tcPr>
            <w:tcW w:w="995" w:type="dxa"/>
            <w:tcBorders>
              <w:top w:val="nil"/>
              <w:left w:val="single" w:sz="4" w:space="0" w:color="auto"/>
              <w:bottom w:val="single" w:sz="4"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1,39</w:t>
            </w:r>
          </w:p>
        </w:tc>
      </w:tr>
      <w:tr w:rsidR="00834B10" w:rsidRPr="003D7984" w:rsidTr="00AD5792">
        <w:trPr>
          <w:trHeight w:val="260"/>
          <w:jc w:val="center"/>
        </w:trPr>
        <w:tc>
          <w:tcPr>
            <w:tcW w:w="1833" w:type="dxa"/>
            <w:tcBorders>
              <w:top w:val="single" w:sz="4" w:space="0" w:color="auto"/>
              <w:left w:val="single" w:sz="18" w:space="0" w:color="000000"/>
              <w:bottom w:val="single" w:sz="4"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23.12.2025.</w:t>
            </w:r>
          </w:p>
        </w:tc>
        <w:tc>
          <w:tcPr>
            <w:tcW w:w="1144" w:type="dxa"/>
            <w:tcBorders>
              <w:top w:val="nil"/>
              <w:left w:val="single" w:sz="4" w:space="0" w:color="auto"/>
              <w:bottom w:val="nil"/>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1,35</w:t>
            </w:r>
          </w:p>
        </w:tc>
        <w:tc>
          <w:tcPr>
            <w:tcW w:w="899" w:type="dxa"/>
            <w:tcBorders>
              <w:top w:val="nil"/>
              <w:left w:val="single" w:sz="4" w:space="0" w:color="auto"/>
              <w:bottom w:val="nil"/>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1,37</w:t>
            </w:r>
          </w:p>
        </w:tc>
        <w:tc>
          <w:tcPr>
            <w:tcW w:w="1144" w:type="dxa"/>
            <w:tcBorders>
              <w:top w:val="nil"/>
              <w:left w:val="single" w:sz="4" w:space="0" w:color="auto"/>
              <w:bottom w:val="nil"/>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1,30</w:t>
            </w:r>
          </w:p>
        </w:tc>
        <w:tc>
          <w:tcPr>
            <w:tcW w:w="995" w:type="dxa"/>
            <w:tcBorders>
              <w:top w:val="single" w:sz="4" w:space="0" w:color="auto"/>
              <w:left w:val="single" w:sz="4" w:space="0" w:color="auto"/>
              <w:bottom w:val="nil"/>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r>
      <w:tr w:rsidR="00834B10" w:rsidRPr="003D7984" w:rsidTr="008F07D5">
        <w:trPr>
          <w:trHeight w:val="260"/>
          <w:jc w:val="center"/>
        </w:trPr>
        <w:tc>
          <w:tcPr>
            <w:tcW w:w="1833" w:type="dxa"/>
            <w:tcBorders>
              <w:top w:val="single" w:sz="4" w:space="0" w:color="auto"/>
              <w:left w:val="single" w:sz="18" w:space="0" w:color="000000"/>
              <w:bottom w:val="single" w:sz="12" w:space="0" w:color="auto"/>
              <w:right w:val="single" w:sz="4" w:space="0" w:color="auto"/>
            </w:tcBorders>
            <w:shd w:val="clear" w:color="auto" w:fill="auto"/>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30.12.2025.</w:t>
            </w:r>
          </w:p>
        </w:tc>
        <w:tc>
          <w:tcPr>
            <w:tcW w:w="1144" w:type="dxa"/>
            <w:tcBorders>
              <w:top w:val="single" w:sz="4" w:space="0" w:color="auto"/>
              <w:left w:val="single" w:sz="4" w:space="0" w:color="auto"/>
              <w:bottom w:val="single" w:sz="12" w:space="0" w:color="auto"/>
              <w:right w:val="single" w:sz="4" w:space="0" w:color="auto"/>
            </w:tcBorders>
            <w:shd w:val="clear" w:color="000000" w:fill="FFFFFF"/>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1,36</w:t>
            </w:r>
          </w:p>
        </w:tc>
        <w:tc>
          <w:tcPr>
            <w:tcW w:w="899" w:type="dxa"/>
            <w:tcBorders>
              <w:top w:val="single" w:sz="4" w:space="0" w:color="auto"/>
              <w:left w:val="single" w:sz="4" w:space="0" w:color="auto"/>
              <w:bottom w:val="single" w:sz="12" w:space="0" w:color="auto"/>
              <w:right w:val="single" w:sz="8" w:space="0" w:color="auto"/>
            </w:tcBorders>
            <w:shd w:val="clear" w:color="auto" w:fill="E7E6E6" w:themeFill="background2"/>
            <w:vAlign w:val="center"/>
          </w:tcPr>
          <w:p w:rsidR="00834B10" w:rsidRPr="001026D8"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1,38</w:t>
            </w:r>
          </w:p>
        </w:tc>
        <w:tc>
          <w:tcPr>
            <w:tcW w:w="1144" w:type="dxa"/>
            <w:tcBorders>
              <w:top w:val="single" w:sz="4" w:space="0" w:color="auto"/>
              <w:left w:val="single" w:sz="4" w:space="0" w:color="auto"/>
              <w:bottom w:val="single" w:sz="12" w:space="0" w:color="auto"/>
              <w:right w:val="single" w:sz="4" w:space="0" w:color="auto"/>
            </w:tcBorders>
            <w:shd w:val="clear" w:color="000000" w:fill="FFFFFF"/>
            <w:noWrap/>
            <w:vAlign w:val="center"/>
          </w:tcPr>
          <w:p w:rsidR="00834B10"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1,31</w:t>
            </w:r>
          </w:p>
        </w:tc>
        <w:tc>
          <w:tcPr>
            <w:tcW w:w="995" w:type="dxa"/>
            <w:tcBorders>
              <w:top w:val="single" w:sz="4" w:space="0" w:color="auto"/>
              <w:left w:val="single" w:sz="4" w:space="0" w:color="auto"/>
              <w:bottom w:val="single" w:sz="12" w:space="0" w:color="auto"/>
              <w:right w:val="single" w:sz="8" w:space="0" w:color="auto"/>
            </w:tcBorders>
            <w:shd w:val="clear" w:color="auto" w:fill="D0CECE" w:themeFill="background2" w:themeFillShade="E6"/>
            <w:noWrap/>
            <w:vAlign w:val="center"/>
          </w:tcPr>
          <w:p w:rsidR="00834B10" w:rsidRPr="003D7984" w:rsidRDefault="00834B10" w:rsidP="00834B10">
            <w:pPr>
              <w:spacing w:after="0" w:line="240" w:lineRule="auto"/>
              <w:jc w:val="center"/>
              <w:rPr>
                <w:rFonts w:ascii="Calibri" w:eastAsia="Times New Roman" w:hAnsi="Calibri" w:cs="Calibri"/>
                <w:color w:val="000000"/>
                <w:lang w:eastAsia="hr-HR"/>
              </w:rPr>
            </w:pPr>
            <w:r>
              <w:rPr>
                <w:rFonts w:ascii="Calibri" w:hAnsi="Calibri" w:cs="Calibri"/>
                <w:color w:val="000000"/>
              </w:rPr>
              <w:t>1,37</w:t>
            </w:r>
          </w:p>
        </w:tc>
      </w:tr>
      <w:tr w:rsidR="00A06234" w:rsidRPr="003D7984" w:rsidTr="008F07D5">
        <w:trPr>
          <w:trHeight w:val="273"/>
          <w:jc w:val="center"/>
        </w:trPr>
        <w:tc>
          <w:tcPr>
            <w:tcW w:w="1833" w:type="dxa"/>
            <w:tcBorders>
              <w:top w:val="single" w:sz="12" w:space="0" w:color="auto"/>
              <w:left w:val="single" w:sz="18" w:space="0" w:color="000000"/>
              <w:bottom w:val="single" w:sz="12" w:space="0" w:color="auto"/>
              <w:right w:val="single" w:sz="12" w:space="0" w:color="000000"/>
            </w:tcBorders>
            <w:shd w:val="clear" w:color="000000" w:fill="F4B084"/>
            <w:noWrap/>
            <w:vAlign w:val="center"/>
            <w:hideMark/>
          </w:tcPr>
          <w:p w:rsidR="00A06234" w:rsidRPr="003D7984" w:rsidRDefault="00A06234" w:rsidP="00A06234">
            <w:pPr>
              <w:spacing w:after="0" w:line="240" w:lineRule="auto"/>
              <w:jc w:val="center"/>
              <w:rPr>
                <w:rFonts w:ascii="Calibri" w:eastAsia="Times New Roman" w:hAnsi="Calibri" w:cs="Calibri"/>
                <w:color w:val="000000"/>
                <w:lang w:eastAsia="hr-HR"/>
              </w:rPr>
            </w:pPr>
            <w:r w:rsidRPr="003D7984">
              <w:rPr>
                <w:rFonts w:ascii="Calibri" w:eastAsia="Times New Roman" w:hAnsi="Calibri" w:cs="Calibri"/>
                <w:color w:val="000000"/>
                <w:lang w:eastAsia="hr-HR"/>
              </w:rPr>
              <w:t>PROSJEK</w:t>
            </w:r>
          </w:p>
        </w:tc>
        <w:tc>
          <w:tcPr>
            <w:tcW w:w="1144" w:type="dxa"/>
            <w:tcBorders>
              <w:top w:val="single" w:sz="12" w:space="0" w:color="auto"/>
              <w:left w:val="nil"/>
              <w:bottom w:val="single" w:sz="12" w:space="0" w:color="auto"/>
              <w:right w:val="single" w:sz="12" w:space="0" w:color="auto"/>
            </w:tcBorders>
            <w:shd w:val="clear" w:color="000000" w:fill="F4B084"/>
            <w:noWrap/>
            <w:vAlign w:val="center"/>
            <w:hideMark/>
          </w:tcPr>
          <w:p w:rsidR="00A06234" w:rsidRPr="003D7984" w:rsidRDefault="001C2E4C" w:rsidP="00A721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1,4</w:t>
            </w:r>
            <w:r w:rsidR="00A72140">
              <w:rPr>
                <w:rFonts w:ascii="Calibri" w:eastAsia="Times New Roman" w:hAnsi="Calibri" w:cs="Calibri"/>
                <w:color w:val="000000"/>
                <w:lang w:eastAsia="hr-HR"/>
              </w:rPr>
              <w:t>3</w:t>
            </w:r>
          </w:p>
        </w:tc>
        <w:tc>
          <w:tcPr>
            <w:tcW w:w="899" w:type="dxa"/>
            <w:tcBorders>
              <w:top w:val="single" w:sz="12" w:space="0" w:color="auto"/>
              <w:left w:val="single" w:sz="12" w:space="0" w:color="auto"/>
              <w:bottom w:val="single" w:sz="12" w:space="0" w:color="auto"/>
              <w:right w:val="single" w:sz="12" w:space="0" w:color="auto"/>
            </w:tcBorders>
            <w:shd w:val="clear" w:color="000000" w:fill="F4B084"/>
            <w:noWrap/>
            <w:vAlign w:val="center"/>
            <w:hideMark/>
          </w:tcPr>
          <w:p w:rsidR="00A06234" w:rsidRPr="003D7984" w:rsidRDefault="002D5BB4" w:rsidP="00A0623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r w:rsidR="00834B10">
              <w:rPr>
                <w:rFonts w:ascii="Calibri" w:eastAsia="Times New Roman" w:hAnsi="Calibri" w:cs="Calibri"/>
                <w:color w:val="000000"/>
                <w:lang w:eastAsia="hr-HR"/>
              </w:rPr>
              <w:t>4</w:t>
            </w:r>
            <w:r>
              <w:rPr>
                <w:rFonts w:ascii="Calibri" w:eastAsia="Times New Roman" w:hAnsi="Calibri" w:cs="Calibri"/>
                <w:color w:val="000000"/>
                <w:lang w:eastAsia="hr-HR"/>
              </w:rPr>
              <w:t>5</w:t>
            </w:r>
          </w:p>
        </w:tc>
        <w:tc>
          <w:tcPr>
            <w:tcW w:w="1144" w:type="dxa"/>
            <w:tcBorders>
              <w:top w:val="single" w:sz="12" w:space="0" w:color="auto"/>
              <w:left w:val="single" w:sz="12" w:space="0" w:color="auto"/>
              <w:bottom w:val="single" w:sz="12" w:space="0" w:color="auto"/>
              <w:right w:val="single" w:sz="12" w:space="0" w:color="auto"/>
            </w:tcBorders>
            <w:shd w:val="clear" w:color="000000" w:fill="F4B084"/>
            <w:noWrap/>
            <w:vAlign w:val="center"/>
            <w:hideMark/>
          </w:tcPr>
          <w:p w:rsidR="00A06234" w:rsidRPr="003D7984" w:rsidRDefault="002D5BB4" w:rsidP="00A72140">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r w:rsidR="00834B10">
              <w:rPr>
                <w:rFonts w:ascii="Calibri" w:eastAsia="Times New Roman" w:hAnsi="Calibri" w:cs="Calibri"/>
                <w:color w:val="000000"/>
                <w:lang w:eastAsia="hr-HR"/>
              </w:rPr>
              <w:t>3</w:t>
            </w:r>
            <w:r w:rsidR="00A72140">
              <w:rPr>
                <w:rFonts w:ascii="Calibri" w:eastAsia="Times New Roman" w:hAnsi="Calibri" w:cs="Calibri"/>
                <w:color w:val="000000"/>
                <w:lang w:eastAsia="hr-HR"/>
              </w:rPr>
              <w:t>6</w:t>
            </w:r>
          </w:p>
        </w:tc>
        <w:tc>
          <w:tcPr>
            <w:tcW w:w="995" w:type="dxa"/>
            <w:tcBorders>
              <w:top w:val="single" w:sz="12" w:space="0" w:color="auto"/>
              <w:left w:val="single" w:sz="12" w:space="0" w:color="auto"/>
              <w:bottom w:val="single" w:sz="12" w:space="0" w:color="auto"/>
              <w:right w:val="single" w:sz="18" w:space="0" w:color="000000"/>
            </w:tcBorders>
            <w:shd w:val="clear" w:color="000000" w:fill="F4B084"/>
            <w:noWrap/>
            <w:vAlign w:val="center"/>
            <w:hideMark/>
          </w:tcPr>
          <w:p w:rsidR="00A06234" w:rsidRPr="003D7984" w:rsidRDefault="002D5BB4" w:rsidP="00A06234">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1,</w:t>
            </w:r>
            <w:r w:rsidR="00834B10">
              <w:rPr>
                <w:rFonts w:ascii="Calibri" w:eastAsia="Times New Roman" w:hAnsi="Calibri" w:cs="Calibri"/>
                <w:color w:val="000000"/>
                <w:lang w:eastAsia="hr-HR"/>
              </w:rPr>
              <w:t>4</w:t>
            </w:r>
            <w:r>
              <w:rPr>
                <w:rFonts w:ascii="Calibri" w:eastAsia="Times New Roman" w:hAnsi="Calibri" w:cs="Calibri"/>
                <w:color w:val="000000"/>
                <w:lang w:eastAsia="hr-HR"/>
              </w:rPr>
              <w:t>4</w:t>
            </w:r>
          </w:p>
        </w:tc>
      </w:tr>
    </w:tbl>
    <w:p w:rsidR="00BC5C26" w:rsidRPr="00DD1C37" w:rsidRDefault="00BC5C26" w:rsidP="00BB2D66">
      <w:pPr>
        <w:spacing w:after="120" w:line="276" w:lineRule="auto"/>
        <w:ind w:right="-46"/>
        <w:rPr>
          <w:rFonts w:eastAsia="Times New Roman" w:cstheme="minorHAnsi"/>
          <w:b/>
          <w:lang w:eastAsia="hr-HR"/>
        </w:rPr>
      </w:pPr>
    </w:p>
    <w:p w:rsidR="00BC5C26" w:rsidRPr="00786B19" w:rsidRDefault="00BC5C26" w:rsidP="00BC5C26">
      <w:pPr>
        <w:spacing w:after="120" w:line="276" w:lineRule="auto"/>
        <w:ind w:right="-46"/>
        <w:jc w:val="both"/>
        <w:rPr>
          <w:rFonts w:eastAsia="Times New Roman" w:cstheme="minorHAnsi"/>
          <w:lang w:eastAsia="hr-HR"/>
        </w:rPr>
      </w:pPr>
      <w:r>
        <w:rPr>
          <w:rFonts w:eastAsia="Times New Roman" w:cstheme="minorHAnsi"/>
          <w:lang w:eastAsia="hr-HR"/>
        </w:rPr>
        <w:t xml:space="preserve">Prema podacima iz tablice u kojoj </w:t>
      </w:r>
      <w:r w:rsidR="008B1AB2">
        <w:rPr>
          <w:rFonts w:eastAsia="Times New Roman" w:cstheme="minorHAnsi"/>
          <w:lang w:eastAsia="hr-HR"/>
        </w:rPr>
        <w:t xml:space="preserve">je </w:t>
      </w:r>
      <w:r>
        <w:rPr>
          <w:rFonts w:eastAsia="Times New Roman" w:cstheme="minorHAnsi"/>
          <w:lang w:eastAsia="hr-HR"/>
        </w:rPr>
        <w:t xml:space="preserve">navedena prosječna cijena goriva u Republici Hrvatskoj za svaki </w:t>
      </w:r>
      <w:r w:rsidR="007A3369">
        <w:rPr>
          <w:rFonts w:eastAsia="Times New Roman" w:cstheme="minorHAnsi"/>
          <w:lang w:eastAsia="hr-HR"/>
        </w:rPr>
        <w:t>drugi utorak</w:t>
      </w:r>
      <w:r w:rsidR="00344F4E">
        <w:rPr>
          <w:rFonts w:eastAsia="Times New Roman" w:cstheme="minorHAnsi"/>
          <w:lang w:eastAsia="hr-HR"/>
        </w:rPr>
        <w:t xml:space="preserve"> </w:t>
      </w:r>
      <w:r w:rsidR="008B1AB2">
        <w:rPr>
          <w:rFonts w:eastAsia="Times New Roman" w:cstheme="minorHAnsi"/>
          <w:lang w:eastAsia="hr-HR"/>
        </w:rPr>
        <w:t xml:space="preserve">u razdoblju </w:t>
      </w:r>
      <w:r w:rsidR="00344F4E">
        <w:rPr>
          <w:rFonts w:eastAsia="Times New Roman" w:cstheme="minorHAnsi"/>
          <w:lang w:eastAsia="hr-HR"/>
        </w:rPr>
        <w:t>do 15. srpnja 2025. godine</w:t>
      </w:r>
      <w:r w:rsidR="008B1AB2">
        <w:rPr>
          <w:rFonts w:eastAsia="Times New Roman" w:cstheme="minorHAnsi"/>
          <w:lang w:eastAsia="hr-HR"/>
        </w:rPr>
        <w:t>,</w:t>
      </w:r>
      <w:r w:rsidR="00344F4E">
        <w:rPr>
          <w:rFonts w:eastAsia="Times New Roman" w:cstheme="minorHAnsi"/>
          <w:lang w:eastAsia="hr-HR"/>
        </w:rPr>
        <w:t xml:space="preserve"> kada je Vlada Republike Hrvatske donijela odluku da se Uredba o utvrđivanju najviših maloprodajnih cijena naftnih derivata više neće donositi, a nadalje svakog utorka </w:t>
      </w:r>
      <w:r w:rsidR="007A3369">
        <w:rPr>
          <w:rFonts w:eastAsia="Times New Roman" w:cstheme="minorHAnsi"/>
          <w:lang w:eastAsia="hr-HR"/>
        </w:rPr>
        <w:t>u 202</w:t>
      </w:r>
      <w:r w:rsidR="000F3378">
        <w:rPr>
          <w:rFonts w:eastAsia="Times New Roman" w:cstheme="minorHAnsi"/>
          <w:lang w:eastAsia="hr-HR"/>
        </w:rPr>
        <w:t>5</w:t>
      </w:r>
      <w:r>
        <w:rPr>
          <w:rFonts w:eastAsia="Times New Roman" w:cstheme="minorHAnsi"/>
          <w:lang w:eastAsia="hr-HR"/>
        </w:rPr>
        <w:t xml:space="preserve">. godini, posebno za EUROSUPER 95 te posebno za </w:t>
      </w:r>
      <w:r w:rsidR="00BB2D66">
        <w:rPr>
          <w:rFonts w:eastAsia="Times New Roman" w:cstheme="minorHAnsi"/>
          <w:lang w:eastAsia="hr-HR"/>
        </w:rPr>
        <w:t>EURO</w:t>
      </w:r>
      <w:r>
        <w:rPr>
          <w:rFonts w:eastAsia="Times New Roman" w:cstheme="minorHAnsi"/>
          <w:lang w:eastAsia="hr-HR"/>
        </w:rPr>
        <w:t xml:space="preserve">DIZEL, dolazimo do </w:t>
      </w:r>
      <w:r>
        <w:rPr>
          <w:rFonts w:eastAsia="Times New Roman" w:cstheme="minorHAnsi"/>
          <w:b/>
          <w:lang w:eastAsia="hr-HR"/>
        </w:rPr>
        <w:t>prosječ</w:t>
      </w:r>
      <w:r w:rsidRPr="00EF5D5B">
        <w:rPr>
          <w:rFonts w:eastAsia="Times New Roman" w:cstheme="minorHAnsi"/>
          <w:b/>
          <w:lang w:eastAsia="hr-HR"/>
        </w:rPr>
        <w:t>ne cijene goriva u Republici</w:t>
      </w:r>
      <w:r w:rsidR="002D5BB4">
        <w:rPr>
          <w:rFonts w:eastAsia="Times New Roman" w:cstheme="minorHAnsi"/>
          <w:b/>
          <w:lang w:eastAsia="hr-HR"/>
        </w:rPr>
        <w:t xml:space="preserve"> Hrvatskoj u 202</w:t>
      </w:r>
      <w:r w:rsidR="000F3378">
        <w:rPr>
          <w:rFonts w:eastAsia="Times New Roman" w:cstheme="minorHAnsi"/>
          <w:b/>
          <w:lang w:eastAsia="hr-HR"/>
        </w:rPr>
        <w:t>5</w:t>
      </w:r>
      <w:r>
        <w:rPr>
          <w:rFonts w:eastAsia="Times New Roman" w:cstheme="minorHAnsi"/>
          <w:b/>
          <w:lang w:eastAsia="hr-HR"/>
        </w:rPr>
        <w:t xml:space="preserve">. godini – </w:t>
      </w:r>
      <w:r w:rsidR="002D5BB4">
        <w:rPr>
          <w:rFonts w:eastAsia="Times New Roman" w:cstheme="minorHAnsi"/>
          <w:b/>
          <w:lang w:eastAsia="hr-HR"/>
        </w:rPr>
        <w:t>1,4</w:t>
      </w:r>
      <w:r w:rsidR="00A72140">
        <w:rPr>
          <w:rFonts w:eastAsia="Times New Roman" w:cstheme="minorHAnsi"/>
          <w:b/>
          <w:lang w:eastAsia="hr-HR"/>
        </w:rPr>
        <w:t>2</w:t>
      </w:r>
      <w:r w:rsidR="001F4713">
        <w:rPr>
          <w:rFonts w:eastAsia="Times New Roman" w:cstheme="minorHAnsi"/>
          <w:b/>
          <w:lang w:eastAsia="hr-HR"/>
        </w:rPr>
        <w:t xml:space="preserve"> EUR</w:t>
      </w:r>
      <w:r w:rsidR="00AD5792">
        <w:rPr>
          <w:rFonts w:eastAsia="Times New Roman" w:cstheme="minorHAnsi"/>
          <w:b/>
          <w:lang w:eastAsia="hr-HR"/>
        </w:rPr>
        <w:t xml:space="preserve"> (izračun je dobiven zbrajanjem prosjeka cijena goriva s mjerama Vlade do 15. srpnja 2025. godine i prosjeka cijena goriva bez mjera Vlade od 22. srpnja do kraja 2025. godine)</w:t>
      </w:r>
      <w:r>
        <w:rPr>
          <w:rFonts w:eastAsia="Times New Roman" w:cstheme="minorHAnsi"/>
          <w:b/>
          <w:lang w:eastAsia="hr-HR"/>
        </w:rPr>
        <w:t>.</w:t>
      </w:r>
    </w:p>
    <w:p w:rsidR="00BC5C26" w:rsidRPr="00BF24D3" w:rsidRDefault="00BC5C26" w:rsidP="00BC5C26">
      <w:pPr>
        <w:pStyle w:val="Odlomakpopisa"/>
        <w:numPr>
          <w:ilvl w:val="1"/>
          <w:numId w:val="1"/>
        </w:numPr>
        <w:spacing w:after="120" w:line="276" w:lineRule="auto"/>
        <w:ind w:right="-46"/>
        <w:jc w:val="both"/>
        <w:outlineLvl w:val="1"/>
        <w:rPr>
          <w:rFonts w:eastAsia="Times New Roman" w:cstheme="minorHAnsi"/>
          <w:b/>
          <w:lang w:eastAsia="hr-HR"/>
        </w:rPr>
      </w:pPr>
      <w:bookmarkStart w:id="6" w:name="_Toc192229233"/>
      <w:r w:rsidRPr="00BF24D3">
        <w:rPr>
          <w:rFonts w:eastAsia="Times New Roman" w:cstheme="minorHAnsi"/>
          <w:b/>
          <w:lang w:eastAsia="hr-HR"/>
        </w:rPr>
        <w:t>In</w:t>
      </w:r>
      <w:r>
        <w:rPr>
          <w:rFonts w:eastAsia="Times New Roman" w:cstheme="minorHAnsi"/>
          <w:b/>
          <w:lang w:eastAsia="hr-HR"/>
        </w:rPr>
        <w:t>teraktivna karta Hrvatske HAK-a</w:t>
      </w:r>
      <w:bookmarkEnd w:id="6"/>
    </w:p>
    <w:p w:rsidR="00BC5C26" w:rsidRDefault="00BC5C26" w:rsidP="00BC5C26">
      <w:pPr>
        <w:jc w:val="both"/>
      </w:pPr>
      <w:r>
        <w:t>Temeljem interaktivne k</w:t>
      </w:r>
      <w:r w:rsidR="00F147B6">
        <w:t>arte Hrvatske HAK-a izračunavat</w:t>
      </w:r>
      <w:r>
        <w:t xml:space="preserve"> će se prijeđena udaljenost od mjesta polaska do mjesta održavanja obuke. U HAK-ovu kartu upisuje se samo naziv mjesta s putnog naloga bez navođenja adrese. Dakle, opravdani trošak odnosi se samo na kilometražu od mjesta polaska do  mjesta održavanja obuke te povratak, a ne i na dodatnu kilometražu (npr. kilometri unutar mjesta održavanja obuke napravljeni od adrese hotela do adrese održavanja obuke).</w:t>
      </w:r>
    </w:p>
    <w:p w:rsidR="00BC5C26" w:rsidRPr="009C4B73" w:rsidRDefault="00BC5C26" w:rsidP="00BC5C26">
      <w:pPr>
        <w:pStyle w:val="Odlomakpopisa"/>
        <w:numPr>
          <w:ilvl w:val="0"/>
          <w:numId w:val="1"/>
        </w:numPr>
        <w:outlineLvl w:val="0"/>
        <w:rPr>
          <w:b/>
          <w:sz w:val="24"/>
          <w:szCs w:val="28"/>
        </w:rPr>
      </w:pPr>
      <w:bookmarkStart w:id="7" w:name="_Toc192229234"/>
      <w:r w:rsidRPr="009C4B73">
        <w:rPr>
          <w:b/>
          <w:sz w:val="24"/>
          <w:szCs w:val="28"/>
        </w:rPr>
        <w:t>Formula za izračun opravdanog iznosa troškova goriva</w:t>
      </w:r>
      <w:bookmarkEnd w:id="7"/>
    </w:p>
    <w:p w:rsidR="009F78F1" w:rsidRDefault="00BC5C26" w:rsidP="00BC5C26">
      <w:pPr>
        <w:jc w:val="both"/>
      </w:pPr>
      <w:r>
        <w:t>Opravdani trošak goriva</w:t>
      </w:r>
      <w:r w:rsidRPr="00BD3157">
        <w:rPr>
          <w:b/>
        </w:rPr>
        <w:t xml:space="preserve"> =</w:t>
      </w:r>
      <w:r>
        <w:t xml:space="preserve"> </w:t>
      </w:r>
      <w:r w:rsidRPr="00BD3157">
        <w:rPr>
          <w:b/>
        </w:rPr>
        <w:t>(</w:t>
      </w:r>
      <w:r>
        <w:rPr>
          <w:b/>
        </w:rPr>
        <w:t xml:space="preserve"> </w:t>
      </w:r>
      <w:r>
        <w:t xml:space="preserve">prijeđeni kilometri od točke A do točke B prema HAK-ovoj mapi </w:t>
      </w:r>
      <w:r w:rsidRPr="00BD3157">
        <w:rPr>
          <w:b/>
        </w:rPr>
        <w:t xml:space="preserve">x </w:t>
      </w:r>
      <w:r>
        <w:t xml:space="preserve">prosječna potrošnja MUP-ovih vozila </w:t>
      </w:r>
      <w:r w:rsidRPr="00826B3D">
        <w:t xml:space="preserve">odnosno </w:t>
      </w:r>
      <w:r w:rsidRPr="00480057">
        <w:t>0,</w:t>
      </w:r>
      <w:r w:rsidR="00AD5792">
        <w:t>07</w:t>
      </w:r>
      <w:r w:rsidRPr="00480057">
        <w:t xml:space="preserve"> litara </w:t>
      </w:r>
      <w:r w:rsidRPr="00096F8F">
        <w:t>po kilometru</w:t>
      </w:r>
      <w:r>
        <w:t xml:space="preserve"> </w:t>
      </w:r>
      <w:r w:rsidRPr="00BD3157">
        <w:rPr>
          <w:b/>
        </w:rPr>
        <w:t>) x</w:t>
      </w:r>
      <w:r>
        <w:t xml:space="preserve"> </w:t>
      </w:r>
      <w:r w:rsidR="002D5BB4">
        <w:t>1,4</w:t>
      </w:r>
      <w:r w:rsidR="00A72140">
        <w:t>2</w:t>
      </w:r>
      <w:r w:rsidR="001F4713">
        <w:t xml:space="preserve"> EUR</w:t>
      </w:r>
      <w:r w:rsidR="009F78F1">
        <w:t>.</w:t>
      </w:r>
    </w:p>
    <w:p w:rsidR="00BC5C26" w:rsidRPr="009C4B73" w:rsidRDefault="00BC5C26" w:rsidP="00BC5C26">
      <w:pPr>
        <w:pStyle w:val="Odlomakpopisa"/>
        <w:numPr>
          <w:ilvl w:val="0"/>
          <w:numId w:val="1"/>
        </w:numPr>
        <w:outlineLvl w:val="0"/>
        <w:rPr>
          <w:b/>
          <w:sz w:val="24"/>
          <w:szCs w:val="28"/>
        </w:rPr>
      </w:pPr>
      <w:bookmarkStart w:id="8" w:name="_Toc192229235"/>
      <w:r w:rsidRPr="009C4B73">
        <w:rPr>
          <w:b/>
          <w:sz w:val="24"/>
          <w:szCs w:val="28"/>
        </w:rPr>
        <w:t>Dokumentacija uz zahtjev za naknadu plaćenih troškova</w:t>
      </w:r>
      <w:bookmarkEnd w:id="8"/>
    </w:p>
    <w:p w:rsidR="00BC5C26" w:rsidRDefault="00BC5C26" w:rsidP="00BC5C26">
      <w:pPr>
        <w:jc w:val="both"/>
      </w:pPr>
      <w:r>
        <w:t>Dokumentacija koja se dostavlja uz zahtjev za naknadu plaćenih troškova:</w:t>
      </w:r>
    </w:p>
    <w:p w:rsidR="00BC5C26" w:rsidRPr="00BD3157" w:rsidRDefault="00BC5C26" w:rsidP="00BC5C26">
      <w:pPr>
        <w:pStyle w:val="Odlomakpopisa"/>
        <w:numPr>
          <w:ilvl w:val="0"/>
          <w:numId w:val="2"/>
        </w:numPr>
        <w:ind w:left="426"/>
        <w:jc w:val="both"/>
      </w:pPr>
      <w:r>
        <w:rPr>
          <w:rFonts w:cstheme="minorHAnsi"/>
          <w:color w:val="0D0D0D" w:themeColor="text1" w:themeTint="F2"/>
        </w:rPr>
        <w:lastRenderedPageBreak/>
        <w:t>ispravno popunjen p</w:t>
      </w:r>
      <w:r w:rsidRPr="00BD3157">
        <w:rPr>
          <w:rFonts w:cstheme="minorHAnsi"/>
          <w:color w:val="0D0D0D" w:themeColor="text1" w:themeTint="F2"/>
        </w:rPr>
        <w:t>utni nalog potpisan od čelnika tijela</w:t>
      </w:r>
    </w:p>
    <w:p w:rsidR="00BC5C26" w:rsidRPr="003B1117" w:rsidRDefault="00BC5C26" w:rsidP="00BC5C26">
      <w:pPr>
        <w:pStyle w:val="Odlomakpopisa"/>
        <w:numPr>
          <w:ilvl w:val="0"/>
          <w:numId w:val="2"/>
        </w:numPr>
        <w:ind w:left="426"/>
        <w:jc w:val="both"/>
      </w:pPr>
      <w:r>
        <w:rPr>
          <w:rFonts w:cstheme="minorHAnsi"/>
          <w:color w:val="0D0D0D" w:themeColor="text1" w:themeTint="F2"/>
        </w:rPr>
        <w:t>ispis kilometara od polazne/odredišne lokacije s putnog naloga prema HAK-ovoj karti za oba smjera</w:t>
      </w:r>
    </w:p>
    <w:p w:rsidR="00BC5C26" w:rsidRPr="00837F6B" w:rsidRDefault="00BC5C26" w:rsidP="00BC5C26">
      <w:pPr>
        <w:pStyle w:val="Odlomakpopisa"/>
        <w:numPr>
          <w:ilvl w:val="0"/>
          <w:numId w:val="2"/>
        </w:numPr>
        <w:ind w:left="426"/>
        <w:jc w:val="both"/>
        <w:rPr>
          <w:color w:val="000000" w:themeColor="text1"/>
        </w:rPr>
      </w:pPr>
      <w:r w:rsidRPr="000F44D8">
        <w:rPr>
          <w:rFonts w:cstheme="minorHAnsi"/>
          <w:i/>
          <w:color w:val="000000" w:themeColor="text1"/>
        </w:rPr>
        <w:t xml:space="preserve">Obrazac </w:t>
      </w:r>
      <w:r>
        <w:rPr>
          <w:rFonts w:cstheme="minorHAnsi"/>
          <w:i/>
          <w:color w:val="000000" w:themeColor="text1"/>
        </w:rPr>
        <w:t xml:space="preserve">- </w:t>
      </w:r>
      <w:r w:rsidRPr="000F44D8">
        <w:rPr>
          <w:rFonts w:cstheme="minorHAnsi"/>
          <w:i/>
          <w:color w:val="000000" w:themeColor="text1"/>
        </w:rPr>
        <w:t>Izračun troškova goriva</w:t>
      </w:r>
      <w:r w:rsidRPr="00837F6B">
        <w:rPr>
          <w:rFonts w:cstheme="minorHAnsi"/>
          <w:color w:val="000000" w:themeColor="text1"/>
        </w:rPr>
        <w:t xml:space="preserve"> iz Priloga 1. ovog dokumenta</w:t>
      </w:r>
    </w:p>
    <w:p w:rsidR="00BC5C26" w:rsidRDefault="00BC5C26" w:rsidP="00BC5C26">
      <w:pPr>
        <w:jc w:val="both"/>
      </w:pPr>
      <w:r>
        <w:t>U slučaju da se u istom zahtjevu za naknadu uz trošak goriva ne dostavlja i zahtjev za naknadu        troškova dnevnica, zahtjevu za naknadu troškova goriva prilaže se i:</w:t>
      </w:r>
    </w:p>
    <w:p w:rsidR="00BC5C26" w:rsidRDefault="00BC5C26" w:rsidP="00BC5C26">
      <w:pPr>
        <w:pStyle w:val="Bezproreda"/>
        <w:numPr>
          <w:ilvl w:val="0"/>
          <w:numId w:val="3"/>
        </w:numPr>
        <w:ind w:left="426"/>
        <w:jc w:val="both"/>
      </w:pPr>
      <w:r w:rsidRPr="00BD3157">
        <w:t>Promemorija/izvješće o pohađanoj obuci ili izvršenom studijskom putovanju</w:t>
      </w:r>
      <w:r>
        <w:t xml:space="preserve"> (obavezno mora sadržavati podatak je li policijski službenik putovao sam odnosno navesti imena ostalih policijskih službenika koji su putovali zajedno)</w:t>
      </w:r>
    </w:p>
    <w:p w:rsidR="00BC5C26" w:rsidRDefault="00BC5C26" w:rsidP="00BC5C26">
      <w:pPr>
        <w:pStyle w:val="Bezproreda"/>
        <w:numPr>
          <w:ilvl w:val="0"/>
          <w:numId w:val="3"/>
        </w:numPr>
        <w:ind w:left="426"/>
        <w:jc w:val="both"/>
      </w:pPr>
      <w:r w:rsidRPr="00DE692F">
        <w:t xml:space="preserve">Certifikat/potvrdu o završenoj obuci, seminaru, edukaciji radionici ili ako se radi o studijskom </w:t>
      </w:r>
      <w:r>
        <w:t xml:space="preserve">  </w:t>
      </w:r>
      <w:r w:rsidRPr="00DE692F">
        <w:t>putovanju komunikacija (primjerice elektroničkom poštom) s domaćinima studijske posjete</w:t>
      </w:r>
      <w:r>
        <w:t xml:space="preserve"> </w:t>
      </w:r>
    </w:p>
    <w:p w:rsidR="00BC5C26" w:rsidRDefault="00BC5C26" w:rsidP="00BC5C26">
      <w:pPr>
        <w:pStyle w:val="Bezproreda"/>
        <w:numPr>
          <w:ilvl w:val="0"/>
          <w:numId w:val="3"/>
        </w:numPr>
        <w:ind w:left="426"/>
        <w:jc w:val="both"/>
      </w:pPr>
      <w:r w:rsidRPr="00DE692F">
        <w:t>Pozivno pismo (e-mail ili drugo)</w:t>
      </w:r>
      <w:r>
        <w:t>, program, zapisnik, popis prisutnosti i sl.</w:t>
      </w:r>
    </w:p>
    <w:p w:rsidR="00BC5C26" w:rsidRDefault="00BC5C26" w:rsidP="00BC5C26">
      <w:pPr>
        <w:pStyle w:val="Bezproreda"/>
        <w:ind w:left="426"/>
        <w:jc w:val="both"/>
      </w:pPr>
    </w:p>
    <w:p w:rsidR="009F78F1" w:rsidRDefault="003A2944" w:rsidP="00BC5C26">
      <w:pPr>
        <w:pStyle w:val="Bezproreda"/>
        <w:jc w:val="both"/>
      </w:pPr>
      <w:r>
        <w:t>Upravljačko</w:t>
      </w:r>
      <w:r w:rsidR="00BC5C26">
        <w:t xml:space="preserve"> tijelo pregledava dostavljenu dokumentaciju te kontrolira ispis kilometara s HAK-ove karte te izračun troškova goriva prema formu</w:t>
      </w:r>
      <w:r w:rsidR="00116985">
        <w:t xml:space="preserve">li iz točke 4. ovog dokumenta. </w:t>
      </w:r>
    </w:p>
    <w:p w:rsidR="00C146E7" w:rsidRDefault="00C146E7" w:rsidP="00BC5C26">
      <w:pPr>
        <w:pStyle w:val="Bezproreda"/>
        <w:jc w:val="both"/>
      </w:pPr>
    </w:p>
    <w:p w:rsidR="00254F2A" w:rsidRDefault="00254F2A" w:rsidP="00BC5C26">
      <w:pPr>
        <w:pStyle w:val="Bezproreda"/>
        <w:jc w:val="both"/>
      </w:pPr>
      <w:r>
        <w:rPr>
          <w:i/>
        </w:rPr>
        <w:t>Slika 1. Primjer ispunjenog Priloga</w:t>
      </w:r>
      <w:r w:rsidRPr="009F78F1">
        <w:rPr>
          <w:i/>
        </w:rPr>
        <w:t xml:space="preserve"> 1.</w:t>
      </w:r>
      <w:r>
        <w:rPr>
          <w:i/>
        </w:rPr>
        <w:t xml:space="preserve"> Obrazac </w:t>
      </w:r>
      <w:r w:rsidRPr="009F78F1">
        <w:rPr>
          <w:i/>
        </w:rPr>
        <w:t>– Izračun troškova goriva</w:t>
      </w:r>
    </w:p>
    <w:p w:rsidR="009F78F1" w:rsidRDefault="009F78F1" w:rsidP="00BC5C26">
      <w:pPr>
        <w:pStyle w:val="Bezproreda"/>
        <w:jc w:val="both"/>
      </w:pPr>
    </w:p>
    <w:p w:rsidR="00BC5C26" w:rsidRDefault="00716040" w:rsidP="00BC5C26">
      <w:pPr>
        <w:pStyle w:val="Bezproreda"/>
        <w:jc w:val="both"/>
        <w:rPr>
          <w:i/>
        </w:rPr>
      </w:pPr>
      <w:r w:rsidRPr="00716040">
        <w:rPr>
          <w:i/>
          <w:noProof/>
          <w:lang w:eastAsia="hr-HR"/>
        </w:rPr>
        <w:drawing>
          <wp:inline distT="0" distB="0" distL="0" distR="0" wp14:anchorId="3F99DD47" wp14:editId="22AB49ED">
            <wp:extent cx="5740328" cy="120628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0328" cy="1206282"/>
                    </a:xfrm>
                    <a:prstGeom prst="rect">
                      <a:avLst/>
                    </a:prstGeom>
                  </pic:spPr>
                </pic:pic>
              </a:graphicData>
            </a:graphic>
          </wp:inline>
        </w:drawing>
      </w:r>
    </w:p>
    <w:p w:rsidR="00BC5C26" w:rsidRPr="00BD3157" w:rsidRDefault="00BC5C26" w:rsidP="000B2181">
      <w:pPr>
        <w:pStyle w:val="Bezproreda"/>
      </w:pPr>
    </w:p>
    <w:p w:rsidR="00BC5C26" w:rsidRPr="000F44D8" w:rsidRDefault="00BC5C26" w:rsidP="00BC5C26">
      <w:pPr>
        <w:pStyle w:val="Odlomakpopisa"/>
        <w:numPr>
          <w:ilvl w:val="0"/>
          <w:numId w:val="1"/>
        </w:numPr>
        <w:outlineLvl w:val="0"/>
        <w:rPr>
          <w:b/>
          <w:sz w:val="24"/>
          <w:szCs w:val="28"/>
        </w:rPr>
      </w:pPr>
      <w:bookmarkStart w:id="9" w:name="_Toc192229236"/>
      <w:r w:rsidRPr="000F44D8">
        <w:rPr>
          <w:b/>
          <w:sz w:val="24"/>
          <w:szCs w:val="28"/>
        </w:rPr>
        <w:t>Način donošenja i primjene</w:t>
      </w:r>
      <w:bookmarkEnd w:id="9"/>
    </w:p>
    <w:p w:rsidR="00BC5C26" w:rsidRPr="00BD3157" w:rsidRDefault="00BC5C26" w:rsidP="00BC5C26">
      <w:pPr>
        <w:pStyle w:val="Odlomakpopisa"/>
        <w:outlineLvl w:val="0"/>
        <w:rPr>
          <w:b/>
          <w:sz w:val="28"/>
          <w:szCs w:val="28"/>
        </w:rPr>
      </w:pPr>
    </w:p>
    <w:p w:rsidR="00BC5C26" w:rsidRPr="00CC462B" w:rsidRDefault="00BC5C26" w:rsidP="00BC5C26">
      <w:pPr>
        <w:pStyle w:val="Odlomakpopisa"/>
        <w:numPr>
          <w:ilvl w:val="1"/>
          <w:numId w:val="1"/>
        </w:numPr>
        <w:outlineLvl w:val="1"/>
        <w:rPr>
          <w:b/>
        </w:rPr>
      </w:pPr>
      <w:bookmarkStart w:id="10" w:name="_Toc192229237"/>
      <w:r w:rsidRPr="00CC462B">
        <w:rPr>
          <w:b/>
        </w:rPr>
        <w:t>Način donošenja</w:t>
      </w:r>
      <w:r>
        <w:rPr>
          <w:b/>
        </w:rPr>
        <w:t xml:space="preserve"> za pojedinačne projekte</w:t>
      </w:r>
      <w:bookmarkEnd w:id="10"/>
    </w:p>
    <w:p w:rsidR="00BC5C26" w:rsidRDefault="00BC5C26" w:rsidP="00BC5C26">
      <w:pPr>
        <w:ind w:left="360"/>
        <w:jc w:val="both"/>
      </w:pPr>
      <w:r>
        <w:t xml:space="preserve">Korištenje </w:t>
      </w:r>
      <w:r w:rsidR="00ED38A4">
        <w:t>jediničnih</w:t>
      </w:r>
      <w:r>
        <w:t xml:space="preserve"> troškova za trošak goriva navodi se u projektnom prijedlogu.</w:t>
      </w:r>
    </w:p>
    <w:p w:rsidR="009F78F1" w:rsidRDefault="00BC5C26" w:rsidP="009F78F1">
      <w:pPr>
        <w:ind w:left="360"/>
        <w:jc w:val="both"/>
      </w:pPr>
      <w:r w:rsidRPr="00DC6935">
        <w:t xml:space="preserve">Za projekte čija je provedba u tijeku </w:t>
      </w:r>
      <w:r>
        <w:t xml:space="preserve">u trenutku donošenja ove metodologije, nije potrebna izmjena projektnog prijedloga odnosno sklapanje dodatka sporazumu, već se ista primjenjuje od trenutka kada </w:t>
      </w:r>
      <w:r w:rsidR="003A2944">
        <w:t>Upravljačko</w:t>
      </w:r>
      <w:r>
        <w:t xml:space="preserve"> tijelo obavijesti Korisnika o njezinoj primjeni na konkretni projekt. U obzir se uzimaju samo troškovi nastali nakon dostavljanja navedene obavijesti.</w:t>
      </w:r>
      <w:r w:rsidR="009F78F1">
        <w:t xml:space="preserve"> </w:t>
      </w:r>
    </w:p>
    <w:p w:rsidR="00BC5C26" w:rsidRPr="003B1117" w:rsidRDefault="00BC5C26" w:rsidP="00BC5C26">
      <w:pPr>
        <w:pStyle w:val="Odlomakpopisa"/>
        <w:numPr>
          <w:ilvl w:val="1"/>
          <w:numId w:val="1"/>
        </w:numPr>
        <w:jc w:val="both"/>
        <w:outlineLvl w:val="1"/>
        <w:rPr>
          <w:b/>
        </w:rPr>
      </w:pPr>
      <w:bookmarkStart w:id="11" w:name="_Toc192229238"/>
      <w:r w:rsidRPr="003B1117">
        <w:rPr>
          <w:b/>
        </w:rPr>
        <w:t>Izmjena pojedinih segmenata formule</w:t>
      </w:r>
      <w:bookmarkEnd w:id="11"/>
    </w:p>
    <w:p w:rsidR="00BC5C26" w:rsidRDefault="00BC5C26" w:rsidP="00BC5C26">
      <w:pPr>
        <w:ind w:left="360"/>
        <w:jc w:val="both"/>
      </w:pPr>
      <w:r>
        <w:t xml:space="preserve">Početkom svake kalendarske godine </w:t>
      </w:r>
      <w:r w:rsidR="003A2944">
        <w:t>Upravljačko</w:t>
      </w:r>
      <w:r>
        <w:t xml:space="preserve"> tijelo po potrebi revidirati će </w:t>
      </w:r>
      <w:r w:rsidRPr="003B1117">
        <w:t>vrijednosti prosječne potrošnje MUP-ovih vozila i prosječne cijene goriva</w:t>
      </w:r>
      <w:r>
        <w:t xml:space="preserve"> u slučaju da su se okolnosti značajno izmijenile te donijeti ažuriranu verziju ovog dokumenta.</w:t>
      </w:r>
    </w:p>
    <w:p w:rsidR="00BC5C26" w:rsidRDefault="00BC5C26" w:rsidP="00BC5C26">
      <w:pPr>
        <w:pStyle w:val="Odlomakpopisa"/>
        <w:numPr>
          <w:ilvl w:val="1"/>
          <w:numId w:val="1"/>
        </w:numPr>
        <w:outlineLvl w:val="1"/>
        <w:rPr>
          <w:b/>
        </w:rPr>
      </w:pPr>
      <w:bookmarkStart w:id="12" w:name="_Toc192229239"/>
      <w:r>
        <w:rPr>
          <w:b/>
        </w:rPr>
        <w:t>Ispunjavanje</w:t>
      </w:r>
      <w:r w:rsidRPr="00CC462B">
        <w:rPr>
          <w:b/>
        </w:rPr>
        <w:t xml:space="preserve"> zahtjeva</w:t>
      </w:r>
      <w:r>
        <w:rPr>
          <w:b/>
        </w:rPr>
        <w:t xml:space="preserve"> za naknadu plaćenih troškova</w:t>
      </w:r>
      <w:bookmarkEnd w:id="12"/>
      <w:r>
        <w:rPr>
          <w:b/>
        </w:rPr>
        <w:t xml:space="preserve"> </w:t>
      </w:r>
    </w:p>
    <w:p w:rsidR="00BC5C26" w:rsidRDefault="00BC5C26" w:rsidP="00BC5C26">
      <w:pPr>
        <w:ind w:left="360"/>
        <w:jc w:val="both"/>
      </w:pPr>
      <w:r>
        <w:t>Točku 22. Troškovi po kategorijama Zahtjeva za naknadu plaćenih troškova goriva korisnik ispunjava na sljedeći način:</w:t>
      </w:r>
    </w:p>
    <w:p w:rsidR="00BC5C26" w:rsidRDefault="00BC5C26" w:rsidP="00BC5C26">
      <w:pPr>
        <w:pStyle w:val="Odlomakpopisa"/>
        <w:numPr>
          <w:ilvl w:val="0"/>
          <w:numId w:val="4"/>
        </w:numPr>
        <w:ind w:left="709" w:firstLine="142"/>
        <w:jc w:val="both"/>
      </w:pPr>
      <w:r>
        <w:t>Naziv utroška – trošak goriva za ... (upisati edukacije, seminare, radionice, ostalo)</w:t>
      </w:r>
    </w:p>
    <w:p w:rsidR="00CC0FE1" w:rsidRDefault="00CC0FE1" w:rsidP="00BC5C26">
      <w:pPr>
        <w:pStyle w:val="Odlomakpopisa"/>
        <w:numPr>
          <w:ilvl w:val="0"/>
          <w:numId w:val="4"/>
        </w:numPr>
        <w:ind w:left="709" w:firstLine="142"/>
        <w:jc w:val="both"/>
      </w:pPr>
      <w:r>
        <w:lastRenderedPageBreak/>
        <w:t>Kod za dimenziju „Područje intervencije“</w:t>
      </w:r>
      <w:r w:rsidR="00E20032">
        <w:t xml:space="preserve"> – ovisno o specifičnom cilju projekta</w:t>
      </w:r>
    </w:p>
    <w:p w:rsidR="00CC0FE1" w:rsidRDefault="00CC0FE1" w:rsidP="00BC5C26">
      <w:pPr>
        <w:pStyle w:val="Odlomakpopisa"/>
        <w:numPr>
          <w:ilvl w:val="0"/>
          <w:numId w:val="4"/>
        </w:numPr>
        <w:ind w:left="709" w:firstLine="142"/>
        <w:jc w:val="both"/>
      </w:pPr>
      <w:r>
        <w:t>Kod za dimenziju „Vrsta djelovanja“</w:t>
      </w:r>
      <w:r w:rsidR="00E20032">
        <w:t xml:space="preserve"> – ovisno o projektnim aktivnostima</w:t>
      </w:r>
    </w:p>
    <w:p w:rsidR="00CC0FE1" w:rsidRDefault="00CC0FE1" w:rsidP="00BC5C26">
      <w:pPr>
        <w:pStyle w:val="Odlomakpopisa"/>
        <w:numPr>
          <w:ilvl w:val="0"/>
          <w:numId w:val="4"/>
        </w:numPr>
        <w:ind w:left="709" w:firstLine="142"/>
        <w:jc w:val="both"/>
      </w:pPr>
      <w:r>
        <w:t>Kod za dimenziju „Provedba“</w:t>
      </w:r>
      <w:r w:rsidR="00E20032">
        <w:t xml:space="preserve"> – ovisno o projektnim aktivnostima</w:t>
      </w:r>
    </w:p>
    <w:p w:rsidR="00CC0FE1" w:rsidRDefault="00CC0FE1" w:rsidP="00BC5C26">
      <w:pPr>
        <w:pStyle w:val="Odlomakpopisa"/>
        <w:numPr>
          <w:ilvl w:val="0"/>
          <w:numId w:val="4"/>
        </w:numPr>
        <w:ind w:left="709" w:firstLine="142"/>
        <w:jc w:val="both"/>
      </w:pPr>
      <w:r>
        <w:t>Kod za dimenziju „Posebne teme“</w:t>
      </w:r>
      <w:r w:rsidR="00E20032">
        <w:t xml:space="preserve"> – ovisno o projektnim aktivnostima</w:t>
      </w:r>
    </w:p>
    <w:p w:rsidR="00BC5C26" w:rsidRDefault="00BC5C26" w:rsidP="00BC5C26">
      <w:pPr>
        <w:pStyle w:val="Odlomakpopisa"/>
        <w:numPr>
          <w:ilvl w:val="0"/>
          <w:numId w:val="4"/>
        </w:numPr>
        <w:ind w:left="709" w:firstLine="142"/>
        <w:jc w:val="both"/>
      </w:pPr>
      <w:r>
        <w:t>Pravna osnova za obračun – putni nalozi</w:t>
      </w:r>
    </w:p>
    <w:p w:rsidR="00BC5C26" w:rsidRDefault="00BC5C26" w:rsidP="00BC5C26">
      <w:pPr>
        <w:pStyle w:val="Odlomakpopisa"/>
        <w:numPr>
          <w:ilvl w:val="0"/>
          <w:numId w:val="4"/>
        </w:numPr>
        <w:ind w:left="709" w:firstLine="142"/>
        <w:jc w:val="both"/>
      </w:pPr>
      <w:r>
        <w:t>Broj računa/zahtjeva za naplatu – n/p</w:t>
      </w:r>
    </w:p>
    <w:p w:rsidR="00BC5C26" w:rsidRDefault="00BC5C26" w:rsidP="00BC5C26">
      <w:pPr>
        <w:pStyle w:val="Odlomakpopisa"/>
        <w:numPr>
          <w:ilvl w:val="0"/>
          <w:numId w:val="4"/>
        </w:numPr>
        <w:ind w:left="709" w:firstLine="142"/>
        <w:jc w:val="both"/>
      </w:pPr>
      <w:r>
        <w:t>Datum računa/zahtjeva za naplatu – n/p</w:t>
      </w:r>
    </w:p>
    <w:p w:rsidR="00BC5C26" w:rsidRPr="00160BE9" w:rsidRDefault="00BC5C26" w:rsidP="00BC5C26">
      <w:pPr>
        <w:pStyle w:val="Odlomakpopisa"/>
        <w:numPr>
          <w:ilvl w:val="0"/>
          <w:numId w:val="4"/>
        </w:numPr>
        <w:ind w:left="709" w:firstLine="142"/>
        <w:jc w:val="both"/>
        <w:rPr>
          <w:color w:val="000000" w:themeColor="text1"/>
        </w:rPr>
      </w:pPr>
      <w:r w:rsidRPr="00160BE9">
        <w:rPr>
          <w:color w:val="000000" w:themeColor="text1"/>
        </w:rPr>
        <w:t>Izvršitelj – n/p</w:t>
      </w:r>
    </w:p>
    <w:p w:rsidR="00BC5C26" w:rsidRDefault="001F4713" w:rsidP="00BC5C26">
      <w:pPr>
        <w:pStyle w:val="Odlomakpopisa"/>
        <w:numPr>
          <w:ilvl w:val="0"/>
          <w:numId w:val="4"/>
        </w:numPr>
        <w:ind w:left="709" w:firstLine="142"/>
        <w:jc w:val="both"/>
      </w:pPr>
      <w:r>
        <w:t>Valuta</w:t>
      </w:r>
      <w:r w:rsidR="00BC5C26">
        <w:t xml:space="preserve"> </w:t>
      </w:r>
      <w:r>
        <w:t xml:space="preserve">(EUR) </w:t>
      </w:r>
      <w:r w:rsidR="00BC5C26">
        <w:t xml:space="preserve">– </w:t>
      </w:r>
      <w:r>
        <w:rPr>
          <w:rFonts w:cstheme="minorHAnsi"/>
        </w:rPr>
        <w:t>€</w:t>
      </w:r>
    </w:p>
    <w:p w:rsidR="00BC5C26" w:rsidRDefault="00BC5C26" w:rsidP="00BC5C26">
      <w:pPr>
        <w:pStyle w:val="Odlomakpopisa"/>
        <w:numPr>
          <w:ilvl w:val="0"/>
          <w:numId w:val="4"/>
        </w:numPr>
        <w:ind w:firstLine="142"/>
        <w:jc w:val="both"/>
      </w:pPr>
      <w:r>
        <w:t xml:space="preserve">Bruto vrijednosti računa / zahtjeva za naplatu - navesti ukupan iznos goriva iz </w:t>
      </w:r>
    </w:p>
    <w:p w:rsidR="00BC5C26" w:rsidRPr="000F44D8" w:rsidRDefault="00BC5C26" w:rsidP="00BC5C26">
      <w:pPr>
        <w:pStyle w:val="Odlomakpopisa"/>
        <w:ind w:left="862"/>
        <w:jc w:val="both"/>
        <w:rPr>
          <w:i/>
        </w:rPr>
      </w:pPr>
      <w:r>
        <w:t xml:space="preserve">           </w:t>
      </w:r>
      <w:r w:rsidRPr="000F44D8">
        <w:rPr>
          <w:i/>
        </w:rPr>
        <w:t>O</w:t>
      </w:r>
      <w:r w:rsidRPr="0005062B">
        <w:rPr>
          <w:i/>
        </w:rPr>
        <w:t>brasca</w:t>
      </w:r>
      <w:r w:rsidRPr="000F44D8">
        <w:rPr>
          <w:i/>
        </w:rPr>
        <w:t xml:space="preserve"> - Izračun troškova goriva</w:t>
      </w:r>
    </w:p>
    <w:p w:rsidR="00BC5C26" w:rsidRDefault="00BC5C26" w:rsidP="00BC5C26">
      <w:pPr>
        <w:pStyle w:val="Odlomakpopisa"/>
        <w:numPr>
          <w:ilvl w:val="0"/>
          <w:numId w:val="4"/>
        </w:numPr>
        <w:ind w:firstLine="142"/>
        <w:jc w:val="both"/>
      </w:pPr>
      <w:r>
        <w:t>Odbici i ugovorne kazne – n/p</w:t>
      </w:r>
    </w:p>
    <w:p w:rsidR="00BC5C26" w:rsidRDefault="00BC5C26" w:rsidP="00BC5C26">
      <w:pPr>
        <w:pStyle w:val="Odlomakpopisa"/>
        <w:numPr>
          <w:ilvl w:val="0"/>
          <w:numId w:val="4"/>
        </w:numPr>
        <w:ind w:firstLine="142"/>
        <w:jc w:val="both"/>
      </w:pPr>
      <w:r>
        <w:t>Iznos bez PDV-a – n/p</w:t>
      </w:r>
    </w:p>
    <w:p w:rsidR="00BC5C26" w:rsidRDefault="00BC5C26" w:rsidP="00BC5C26">
      <w:pPr>
        <w:pStyle w:val="Odlomakpopisa"/>
        <w:numPr>
          <w:ilvl w:val="0"/>
          <w:numId w:val="4"/>
        </w:numPr>
        <w:ind w:firstLine="142"/>
        <w:jc w:val="both"/>
      </w:pPr>
      <w:r>
        <w:t>PDV – n/p</w:t>
      </w:r>
    </w:p>
    <w:p w:rsidR="00BC5C26" w:rsidRDefault="00BC5C26" w:rsidP="00BC5C26">
      <w:pPr>
        <w:pStyle w:val="Odlomakpopisa"/>
        <w:numPr>
          <w:ilvl w:val="0"/>
          <w:numId w:val="4"/>
        </w:numPr>
        <w:ind w:firstLine="142"/>
        <w:jc w:val="both"/>
      </w:pPr>
      <w:r>
        <w:t>Iznos s P</w:t>
      </w:r>
      <w:r w:rsidR="00E20032">
        <w:t>DV-om – navesti iznos iz točke k</w:t>
      </w:r>
      <w:r>
        <w:t>)</w:t>
      </w:r>
    </w:p>
    <w:p w:rsidR="00BC5C26" w:rsidRPr="00160BE9" w:rsidRDefault="00BC5C26" w:rsidP="00BC5C26">
      <w:pPr>
        <w:pStyle w:val="Odlomakpopisa"/>
        <w:numPr>
          <w:ilvl w:val="0"/>
          <w:numId w:val="4"/>
        </w:numPr>
        <w:ind w:firstLine="142"/>
        <w:jc w:val="both"/>
        <w:rPr>
          <w:color w:val="000000" w:themeColor="text1"/>
        </w:rPr>
      </w:pPr>
      <w:r w:rsidRPr="00160BE9">
        <w:rPr>
          <w:color w:val="000000" w:themeColor="text1"/>
        </w:rPr>
        <w:t>Način plaćanja izvršitelju – n/p</w:t>
      </w:r>
    </w:p>
    <w:p w:rsidR="00BC5C26" w:rsidRDefault="003A2944" w:rsidP="003A2944">
      <w:pPr>
        <w:pStyle w:val="Odlomakpopisa"/>
        <w:numPr>
          <w:ilvl w:val="0"/>
          <w:numId w:val="17"/>
        </w:numPr>
        <w:jc w:val="both"/>
      </w:pPr>
      <w:r>
        <w:t xml:space="preserve">    </w:t>
      </w:r>
      <w:r w:rsidR="00BC5C26">
        <w:t>Datum plaćanja izvršitelju – n/p</w:t>
      </w:r>
    </w:p>
    <w:p w:rsidR="00BC5C26" w:rsidRDefault="00BC5C26" w:rsidP="003A2944">
      <w:pPr>
        <w:pStyle w:val="Odlomakpopisa"/>
        <w:numPr>
          <w:ilvl w:val="0"/>
          <w:numId w:val="17"/>
        </w:numPr>
        <w:ind w:left="709" w:firstLine="142"/>
        <w:jc w:val="both"/>
      </w:pPr>
      <w:r>
        <w:t>Opravdan iznos sufinanciranja sredstvima Fonda – navesti opravdan iznos</w:t>
      </w:r>
    </w:p>
    <w:p w:rsidR="00BC5C26" w:rsidRDefault="00BC5C26" w:rsidP="00BC5C26">
      <w:pPr>
        <w:pStyle w:val="Odlomakpopisa"/>
        <w:ind w:left="862"/>
        <w:jc w:val="both"/>
      </w:pPr>
      <w:r>
        <w:t xml:space="preserve">           sufinanciranja sred</w:t>
      </w:r>
      <w:r w:rsidR="00E20032">
        <w:t>stvima Fonda za iznos iz točke k</w:t>
      </w:r>
      <w:r>
        <w:t xml:space="preserve">) </w:t>
      </w:r>
    </w:p>
    <w:p w:rsidR="00BC5C26" w:rsidRDefault="00BC5C26" w:rsidP="003A2944">
      <w:pPr>
        <w:pStyle w:val="Odlomakpopisa"/>
        <w:numPr>
          <w:ilvl w:val="0"/>
          <w:numId w:val="17"/>
        </w:numPr>
        <w:ind w:left="709" w:firstLine="142"/>
        <w:jc w:val="both"/>
      </w:pPr>
      <w:r>
        <w:t xml:space="preserve">Opravdan iznos HR sufinanciranja – navesti opravdan iznos sufinanciranja HR </w:t>
      </w:r>
    </w:p>
    <w:p w:rsidR="00BC5C26" w:rsidRDefault="00BC5C26" w:rsidP="00BC5C26">
      <w:pPr>
        <w:pStyle w:val="Odlomakpopisa"/>
        <w:ind w:left="862"/>
        <w:jc w:val="both"/>
      </w:pPr>
      <w:r>
        <w:t xml:space="preserve">         </w:t>
      </w:r>
      <w:r w:rsidR="00E20032">
        <w:t xml:space="preserve">  sredstvima za iznos iz točke k</w:t>
      </w:r>
      <w:r>
        <w:t>)</w:t>
      </w:r>
    </w:p>
    <w:p w:rsidR="00BC5C26" w:rsidRPr="000F44D8" w:rsidRDefault="00BC5C26" w:rsidP="003A2944">
      <w:pPr>
        <w:pStyle w:val="Odlomakpopisa"/>
        <w:numPr>
          <w:ilvl w:val="0"/>
          <w:numId w:val="17"/>
        </w:numPr>
        <w:ind w:left="709" w:firstLine="131"/>
        <w:jc w:val="both"/>
        <w:rPr>
          <w:i/>
        </w:rPr>
      </w:pPr>
      <w:r>
        <w:t xml:space="preserve">Drugi dokazi za nastali trošak / obvezu plaćanja </w:t>
      </w:r>
      <w:r w:rsidRPr="000F44D8">
        <w:rPr>
          <w:i/>
        </w:rPr>
        <w:t>– Obrazac - Izračun</w:t>
      </w:r>
    </w:p>
    <w:p w:rsidR="00BC5C26" w:rsidRPr="000F44D8" w:rsidRDefault="00BC5C26" w:rsidP="00BC5C26">
      <w:pPr>
        <w:pStyle w:val="Odlomakpopisa"/>
        <w:ind w:left="851"/>
        <w:jc w:val="both"/>
        <w:rPr>
          <w:i/>
        </w:rPr>
      </w:pPr>
      <w:r w:rsidRPr="000F44D8">
        <w:rPr>
          <w:i/>
        </w:rPr>
        <w:t xml:space="preserve">            troškova goriva</w:t>
      </w:r>
    </w:p>
    <w:p w:rsidR="00BC5C26" w:rsidRDefault="00BC5C26" w:rsidP="003A2944">
      <w:pPr>
        <w:pStyle w:val="Odlomakpopisa"/>
        <w:numPr>
          <w:ilvl w:val="0"/>
          <w:numId w:val="17"/>
        </w:numPr>
        <w:ind w:left="709" w:firstLine="142"/>
        <w:jc w:val="both"/>
      </w:pPr>
      <w:r w:rsidRPr="004669AC">
        <w:t>Napomene</w:t>
      </w:r>
      <w:r>
        <w:t xml:space="preserve"> – upisati po potrebi</w:t>
      </w:r>
    </w:p>
    <w:p w:rsidR="001026D8" w:rsidRDefault="001026D8" w:rsidP="00BC5C26">
      <w:pPr>
        <w:ind w:left="360"/>
        <w:jc w:val="both"/>
      </w:pPr>
    </w:p>
    <w:p w:rsidR="00BC5C26" w:rsidRDefault="00E20032" w:rsidP="00BC5C26">
      <w:pPr>
        <w:ind w:left="360"/>
        <w:jc w:val="both"/>
      </w:pPr>
      <w:r>
        <w:t>Upravljačko</w:t>
      </w:r>
      <w:r w:rsidR="00BC5C26">
        <w:t xml:space="preserve"> tijelo u napomenu zahtjeva za naknadu plaćenih troškova unosi podatak o korištenoj formuli odnosno vrijednosti prosječne potrošnje MUP-ovih vozila i prosječne cijene goriva korištene za potrebe izrač</w:t>
      </w:r>
      <w:r w:rsidR="005E1DB8">
        <w:t>una opravdanih troškova goriva.</w:t>
      </w:r>
    </w:p>
    <w:p w:rsidR="001026D8" w:rsidRPr="00C146E7" w:rsidRDefault="00BC5C26" w:rsidP="001026D8">
      <w:pPr>
        <w:ind w:left="360"/>
        <w:jc w:val="both"/>
        <w:rPr>
          <w:color w:val="000000" w:themeColor="text1"/>
        </w:rPr>
      </w:pPr>
      <w:r w:rsidRPr="00837F6B">
        <w:rPr>
          <w:color w:val="000000" w:themeColor="text1"/>
        </w:rPr>
        <w:t xml:space="preserve">Dakle, ukupan trošak goriva iskazan u </w:t>
      </w:r>
      <w:r>
        <w:rPr>
          <w:i/>
          <w:color w:val="000000" w:themeColor="text1"/>
        </w:rPr>
        <w:t>Obrascu</w:t>
      </w:r>
      <w:r w:rsidRPr="00837F6B">
        <w:rPr>
          <w:i/>
          <w:color w:val="000000" w:themeColor="text1"/>
        </w:rPr>
        <w:t xml:space="preserve"> – Izračun troškova goriva</w:t>
      </w:r>
      <w:r w:rsidRPr="00837F6B">
        <w:rPr>
          <w:color w:val="000000" w:themeColor="text1"/>
        </w:rPr>
        <w:t xml:space="preserve"> unosi se u zahtjev za naknadu plaćenih troškova kao jedinstveni trošak.</w:t>
      </w:r>
    </w:p>
    <w:p w:rsidR="00254F2A" w:rsidRPr="00254F2A" w:rsidRDefault="00254F2A" w:rsidP="00254F2A">
      <w:pPr>
        <w:ind w:left="360"/>
        <w:jc w:val="both"/>
        <w:rPr>
          <w:i/>
        </w:rPr>
      </w:pPr>
      <w:r w:rsidRPr="009F78F1">
        <w:rPr>
          <w:i/>
        </w:rPr>
        <w:t>Slika 2. Primjer ispunjenog zahtje</w:t>
      </w:r>
      <w:r>
        <w:rPr>
          <w:i/>
        </w:rPr>
        <w:t>va za naknadu plaćenih troškova</w:t>
      </w:r>
    </w:p>
    <w:p w:rsidR="00E20032" w:rsidRDefault="000B2202" w:rsidP="00BC5C26">
      <w:pPr>
        <w:ind w:left="360"/>
        <w:jc w:val="both"/>
        <w:rPr>
          <w:color w:val="000000" w:themeColor="text1"/>
        </w:rPr>
      </w:pPr>
      <w:r w:rsidRPr="000B2202">
        <w:rPr>
          <w:noProof/>
          <w:color w:val="000000" w:themeColor="text1"/>
          <w:lang w:eastAsia="hr-HR"/>
        </w:rPr>
        <w:drawing>
          <wp:inline distT="0" distB="0" distL="0" distR="0" wp14:anchorId="4DA37C66" wp14:editId="1EA0E539">
            <wp:extent cx="5760720" cy="1751418"/>
            <wp:effectExtent l="0" t="0" r="0" b="127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1751418"/>
                    </a:xfrm>
                    <a:prstGeom prst="rect">
                      <a:avLst/>
                    </a:prstGeom>
                  </pic:spPr>
                </pic:pic>
              </a:graphicData>
            </a:graphic>
          </wp:inline>
        </w:drawing>
      </w:r>
    </w:p>
    <w:p w:rsidR="001026D8" w:rsidRDefault="001026D8" w:rsidP="00BC5C26">
      <w:pPr>
        <w:ind w:left="360"/>
        <w:jc w:val="both"/>
        <w:rPr>
          <w:color w:val="000000" w:themeColor="text1"/>
        </w:rPr>
      </w:pPr>
    </w:p>
    <w:p w:rsidR="00BC5C26" w:rsidRDefault="00BC5C26" w:rsidP="00BC5C26">
      <w:pPr>
        <w:pStyle w:val="Odlomakpopisa"/>
        <w:numPr>
          <w:ilvl w:val="1"/>
          <w:numId w:val="1"/>
        </w:numPr>
        <w:jc w:val="both"/>
        <w:outlineLvl w:val="1"/>
        <w:rPr>
          <w:b/>
        </w:rPr>
      </w:pPr>
      <w:bookmarkStart w:id="13" w:name="_Toc192229240"/>
      <w:r>
        <w:rPr>
          <w:b/>
        </w:rPr>
        <w:t>Plaćanje sredstvima s izvora 575 Fond</w:t>
      </w:r>
      <w:r w:rsidR="001026D8">
        <w:rPr>
          <w:b/>
        </w:rPr>
        <w:t xml:space="preserve"> za azil, migracije i integraciju, 578 F</w:t>
      </w:r>
      <w:r>
        <w:rPr>
          <w:b/>
        </w:rPr>
        <w:t>o</w:t>
      </w:r>
      <w:r w:rsidR="001026D8">
        <w:rPr>
          <w:b/>
        </w:rPr>
        <w:t>nd za unutarnju sigurnost i 579 Fond za integrirano upravljanje granicama</w:t>
      </w:r>
      <w:bookmarkEnd w:id="13"/>
    </w:p>
    <w:p w:rsidR="003212E5" w:rsidRDefault="00BC5C26" w:rsidP="00BC5C26">
      <w:pPr>
        <w:jc w:val="both"/>
        <w:rPr>
          <w:color w:val="000000" w:themeColor="text1"/>
        </w:rPr>
      </w:pPr>
      <w:r w:rsidRPr="00657707">
        <w:rPr>
          <w:color w:val="000000" w:themeColor="text1"/>
        </w:rPr>
        <w:lastRenderedPageBreak/>
        <w:t xml:space="preserve">Uprava za materijalno financijske poslove će, a nakon dostave zahtjeva za naknadu plaćenih troškova i pripadajućih priloga od strane </w:t>
      </w:r>
      <w:r>
        <w:rPr>
          <w:color w:val="000000" w:themeColor="text1"/>
        </w:rPr>
        <w:t>k</w:t>
      </w:r>
      <w:r w:rsidRPr="00657707">
        <w:rPr>
          <w:color w:val="000000" w:themeColor="text1"/>
        </w:rPr>
        <w:t xml:space="preserve">orisnika, </w:t>
      </w:r>
      <w:r>
        <w:rPr>
          <w:color w:val="000000" w:themeColor="text1"/>
        </w:rPr>
        <w:t>n</w:t>
      </w:r>
      <w:r w:rsidRPr="00657707">
        <w:rPr>
          <w:color w:val="000000" w:themeColor="text1"/>
        </w:rPr>
        <w:t xml:space="preserve">alogom za </w:t>
      </w:r>
      <w:proofErr w:type="spellStart"/>
      <w:r w:rsidRPr="00657707">
        <w:rPr>
          <w:color w:val="000000" w:themeColor="text1"/>
        </w:rPr>
        <w:t>preknjiženje</w:t>
      </w:r>
      <w:proofErr w:type="spellEnd"/>
      <w:r w:rsidRPr="00657707">
        <w:rPr>
          <w:color w:val="000000" w:themeColor="text1"/>
        </w:rPr>
        <w:t xml:space="preserve"> u sustavu Državne riznice izvršiti </w:t>
      </w:r>
      <w:proofErr w:type="spellStart"/>
      <w:r w:rsidRPr="00657707">
        <w:rPr>
          <w:color w:val="000000" w:themeColor="text1"/>
        </w:rPr>
        <w:t>prekn</w:t>
      </w:r>
      <w:r>
        <w:rPr>
          <w:color w:val="000000" w:themeColor="text1"/>
        </w:rPr>
        <w:t>j</w:t>
      </w:r>
      <w:r w:rsidRPr="00657707">
        <w:rPr>
          <w:color w:val="000000" w:themeColor="text1"/>
        </w:rPr>
        <w:t>iženje</w:t>
      </w:r>
      <w:proofErr w:type="spellEnd"/>
      <w:r w:rsidRPr="00657707">
        <w:rPr>
          <w:color w:val="000000" w:themeColor="text1"/>
        </w:rPr>
        <w:t xml:space="preserve"> plaćenih troškova na način da opravdan iznos sufinanciranja sredstvima Fonda </w:t>
      </w:r>
      <w:proofErr w:type="spellStart"/>
      <w:r w:rsidRPr="00657707">
        <w:rPr>
          <w:color w:val="000000" w:themeColor="text1"/>
        </w:rPr>
        <w:t>preknjiži</w:t>
      </w:r>
      <w:proofErr w:type="spellEnd"/>
      <w:r w:rsidRPr="00657707">
        <w:rPr>
          <w:color w:val="000000" w:themeColor="text1"/>
        </w:rPr>
        <w:t xml:space="preserve"> na teret</w:t>
      </w:r>
      <w:r w:rsidRPr="00690948">
        <w:rPr>
          <w:i/>
          <w:color w:val="000000" w:themeColor="text1"/>
        </w:rPr>
        <w:t xml:space="preserve"> Izvora 575 - Fondovi za unutarnje poslove</w:t>
      </w:r>
      <w:r w:rsidR="001026D8">
        <w:rPr>
          <w:i/>
          <w:color w:val="000000" w:themeColor="text1"/>
        </w:rPr>
        <w:t>, 578 – Fond za unutarnju sigurnost, 579 – Fond za integrirano upravljanje granicama</w:t>
      </w:r>
      <w:r w:rsidRPr="00657707">
        <w:rPr>
          <w:color w:val="000000" w:themeColor="text1"/>
        </w:rPr>
        <w:t xml:space="preserve">, odnosno opravdan iznos HR sufinanciranja na teret </w:t>
      </w:r>
      <w:r w:rsidRPr="00690948">
        <w:rPr>
          <w:i/>
          <w:color w:val="000000" w:themeColor="text1"/>
        </w:rPr>
        <w:t>Izvora 12 – Sredstva učešća za pomoći</w:t>
      </w:r>
      <w:r w:rsidRPr="00657707">
        <w:rPr>
          <w:color w:val="000000" w:themeColor="text1"/>
        </w:rPr>
        <w:t>, te pripadajuće aktivnosti, a u korist izvora i aktivnosti na teret kojih je izvršeno plaćanje troškova.</w:t>
      </w:r>
    </w:p>
    <w:p w:rsidR="001026D8" w:rsidRPr="00657707" w:rsidRDefault="001026D8" w:rsidP="00BC5C26">
      <w:pPr>
        <w:jc w:val="both"/>
        <w:rPr>
          <w:color w:val="000000" w:themeColor="text1"/>
        </w:rPr>
      </w:pPr>
    </w:p>
    <w:p w:rsidR="00BC5C26" w:rsidRPr="00690948" w:rsidRDefault="00BC5C26" w:rsidP="00BC5C26">
      <w:pPr>
        <w:pStyle w:val="Odlomakpopisa"/>
        <w:numPr>
          <w:ilvl w:val="0"/>
          <w:numId w:val="1"/>
        </w:numPr>
        <w:jc w:val="both"/>
        <w:outlineLvl w:val="0"/>
        <w:rPr>
          <w:rFonts w:cstheme="minorHAnsi"/>
          <w:b/>
          <w:color w:val="000000" w:themeColor="text1"/>
          <w:sz w:val="24"/>
          <w:szCs w:val="28"/>
        </w:rPr>
      </w:pPr>
      <w:bookmarkStart w:id="14" w:name="_Toc192229241"/>
      <w:r w:rsidRPr="00690948">
        <w:rPr>
          <w:rFonts w:cstheme="minorHAnsi"/>
          <w:b/>
          <w:color w:val="000000" w:themeColor="text1"/>
          <w:sz w:val="24"/>
          <w:szCs w:val="28"/>
        </w:rPr>
        <w:t>Primjer izračuna troškova goriva</w:t>
      </w:r>
      <w:bookmarkEnd w:id="14"/>
    </w:p>
    <w:p w:rsidR="00BC5C26" w:rsidRDefault="00BC5C26" w:rsidP="00BC5C26">
      <w:pPr>
        <w:jc w:val="both"/>
        <w:rPr>
          <w:rFonts w:cstheme="minorHAnsi"/>
          <w:color w:val="000000" w:themeColor="text1"/>
        </w:rPr>
      </w:pPr>
      <w:r>
        <w:rPr>
          <w:rFonts w:cstheme="minorHAnsi"/>
          <w:color w:val="000000" w:themeColor="text1"/>
        </w:rPr>
        <w:t xml:space="preserve">Policijski službenik putuje na dodatno stručno usavršavanje u trajanju od 5 radnih dana iz Zagreba u Split. Policijski službenik putuje za Split u nedjelju u popodnevnim satima te se vraća za Zagreb u petak u popodnevnim satima. </w:t>
      </w:r>
    </w:p>
    <w:p w:rsidR="00BC5C26" w:rsidRDefault="00BC5C26" w:rsidP="00BC5C26">
      <w:pPr>
        <w:jc w:val="both"/>
        <w:rPr>
          <w:rFonts w:cstheme="minorHAnsi"/>
          <w:color w:val="000000" w:themeColor="text1"/>
        </w:rPr>
      </w:pPr>
      <w:r>
        <w:rPr>
          <w:rFonts w:cstheme="minorHAnsi"/>
          <w:color w:val="000000" w:themeColor="text1"/>
        </w:rPr>
        <w:t xml:space="preserve">Dokazi koje je potrebno dostaviti: </w:t>
      </w:r>
    </w:p>
    <w:p w:rsidR="00BC5C26" w:rsidRPr="00F11BDD" w:rsidRDefault="00BC5C26" w:rsidP="00BC5C26">
      <w:pPr>
        <w:pStyle w:val="Odlomakpopisa"/>
        <w:numPr>
          <w:ilvl w:val="0"/>
          <w:numId w:val="11"/>
        </w:numPr>
        <w:ind w:left="709" w:hanging="283"/>
        <w:rPr>
          <w:rFonts w:cstheme="minorHAnsi"/>
          <w:color w:val="000000" w:themeColor="text1"/>
        </w:rPr>
      </w:pPr>
      <w:r w:rsidRPr="00F11BDD">
        <w:rPr>
          <w:rFonts w:cstheme="minorHAnsi"/>
          <w:color w:val="000000" w:themeColor="text1"/>
        </w:rPr>
        <w:t>ispravno popunjen putni nalog potpisan od čelnika tijela</w:t>
      </w:r>
    </w:p>
    <w:p w:rsidR="00BC5C26" w:rsidRPr="00A40D7D" w:rsidRDefault="00BC5C26" w:rsidP="00BC5C26">
      <w:pPr>
        <w:pStyle w:val="Odlomakpopisa"/>
        <w:numPr>
          <w:ilvl w:val="0"/>
          <w:numId w:val="11"/>
        </w:numPr>
        <w:ind w:left="709" w:hanging="283"/>
        <w:rPr>
          <w:rFonts w:cstheme="minorHAnsi"/>
          <w:color w:val="000000" w:themeColor="text1"/>
        </w:rPr>
      </w:pPr>
      <w:r w:rsidRPr="00F11BDD">
        <w:rPr>
          <w:rFonts w:cstheme="minorHAnsi"/>
          <w:color w:val="000000" w:themeColor="text1"/>
        </w:rPr>
        <w:t>ispis kilometara od polazne/odredišne lokacije s putnog naloga pr</w:t>
      </w:r>
      <w:r>
        <w:rPr>
          <w:rFonts w:cstheme="minorHAnsi"/>
          <w:color w:val="000000" w:themeColor="text1"/>
        </w:rPr>
        <w:t>ema HAK ovoj karti za oba smjera</w:t>
      </w:r>
    </w:p>
    <w:p w:rsidR="005778F2" w:rsidRPr="003212E5" w:rsidRDefault="00BC5C26" w:rsidP="00A40D7D">
      <w:pPr>
        <w:rPr>
          <w:rFonts w:cstheme="minorHAnsi"/>
          <w:i/>
          <w:color w:val="000000" w:themeColor="text1"/>
        </w:rPr>
      </w:pPr>
      <w:r w:rsidRPr="009F78F1">
        <w:rPr>
          <w:rFonts w:cstheme="minorHAnsi"/>
          <w:i/>
          <w:color w:val="000000" w:themeColor="text1"/>
        </w:rPr>
        <w:t>Sl</w:t>
      </w:r>
      <w:r w:rsidR="003212E5">
        <w:rPr>
          <w:rFonts w:cstheme="minorHAnsi"/>
          <w:i/>
          <w:color w:val="000000" w:themeColor="text1"/>
        </w:rPr>
        <w:t>ika 3. HAK karta Zagreb – Split</w:t>
      </w:r>
      <w:r w:rsidR="003212E5">
        <w:rPr>
          <w:rFonts w:cstheme="minorHAnsi"/>
          <w:color w:val="000000" w:themeColor="text1"/>
        </w:rPr>
        <w:t xml:space="preserve">    </w:t>
      </w:r>
      <w:r w:rsidR="003212E5" w:rsidRPr="003212E5">
        <w:rPr>
          <w:rFonts w:cstheme="minorHAnsi"/>
          <w:noProof/>
          <w:color w:val="000000" w:themeColor="text1"/>
          <w:lang w:eastAsia="hr-HR"/>
        </w:rPr>
        <w:drawing>
          <wp:inline distT="0" distB="0" distL="0" distR="0" wp14:anchorId="2A04A979" wp14:editId="03F2E6C0">
            <wp:extent cx="5760720" cy="29980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998067"/>
                    </a:xfrm>
                    <a:prstGeom prst="rect">
                      <a:avLst/>
                    </a:prstGeom>
                  </pic:spPr>
                </pic:pic>
              </a:graphicData>
            </a:graphic>
          </wp:inline>
        </w:drawing>
      </w:r>
      <w:r w:rsidRPr="00F11BDD">
        <w:rPr>
          <w:rFonts w:cstheme="minorHAnsi"/>
          <w:color w:val="000000" w:themeColor="text1"/>
        </w:rPr>
        <w:t xml:space="preserve">               </w:t>
      </w:r>
      <w:r w:rsidR="00A40D7D">
        <w:rPr>
          <w:rFonts w:cstheme="minorHAnsi"/>
          <w:color w:val="000000" w:themeColor="text1"/>
        </w:rPr>
        <w:t xml:space="preserve">                              </w:t>
      </w:r>
    </w:p>
    <w:p w:rsidR="00480057" w:rsidRDefault="00480057" w:rsidP="001026D8">
      <w:pPr>
        <w:rPr>
          <w:rFonts w:cstheme="minorHAnsi"/>
          <w:i/>
          <w:color w:val="000000" w:themeColor="text1"/>
        </w:rPr>
      </w:pPr>
    </w:p>
    <w:p w:rsidR="00BC5C26" w:rsidRPr="009F78F1" w:rsidRDefault="00BC5C26" w:rsidP="00A40D7D">
      <w:pPr>
        <w:spacing w:before="240"/>
        <w:jc w:val="both"/>
        <w:rPr>
          <w:rFonts w:cstheme="minorHAnsi"/>
          <w:i/>
          <w:color w:val="000000" w:themeColor="text1"/>
        </w:rPr>
      </w:pPr>
      <w:r w:rsidRPr="009F78F1">
        <w:rPr>
          <w:rFonts w:cstheme="minorHAnsi"/>
          <w:i/>
          <w:color w:val="000000" w:themeColor="text1"/>
        </w:rPr>
        <w:t>Slika 4. HAK karta Split – Zagreb</w:t>
      </w:r>
    </w:p>
    <w:p w:rsidR="00BC5C26" w:rsidRPr="003212E5" w:rsidRDefault="003212E5" w:rsidP="003212E5">
      <w:pPr>
        <w:rPr>
          <w:rFonts w:cstheme="minorHAnsi"/>
          <w:color w:val="000000" w:themeColor="text1"/>
        </w:rPr>
      </w:pPr>
      <w:r w:rsidRPr="003212E5">
        <w:rPr>
          <w:rFonts w:cstheme="minorHAnsi"/>
          <w:noProof/>
          <w:color w:val="000000" w:themeColor="text1"/>
          <w:lang w:eastAsia="hr-HR"/>
        </w:rPr>
        <w:drawing>
          <wp:inline distT="0" distB="0" distL="0" distR="0" wp14:anchorId="535FA28B" wp14:editId="060B92D5">
            <wp:extent cx="5821698" cy="3030919"/>
            <wp:effectExtent l="0" t="0" r="762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21698" cy="3030919"/>
                    </a:xfrm>
                    <a:prstGeom prst="rect">
                      <a:avLst/>
                    </a:prstGeom>
                  </pic:spPr>
                </pic:pic>
              </a:graphicData>
            </a:graphic>
          </wp:inline>
        </w:drawing>
      </w:r>
    </w:p>
    <w:p w:rsidR="00BC5C26" w:rsidRDefault="00BC5C26" w:rsidP="00BC5C26">
      <w:pPr>
        <w:pStyle w:val="Bezproreda"/>
        <w:jc w:val="both"/>
      </w:pPr>
      <w:r>
        <w:lastRenderedPageBreak/>
        <w:t>U slučaju da se u istom zahtjevu za naknadu uz trošak goriva ne dostavlja i zahtjev za naknadu        troškova dnevnica, zahtjevu za naknadu troškova goriva prilaže se i:</w:t>
      </w:r>
    </w:p>
    <w:p w:rsidR="00BC5C26" w:rsidRDefault="00BC5C26" w:rsidP="00BC5C26">
      <w:pPr>
        <w:pStyle w:val="Bezproreda"/>
        <w:numPr>
          <w:ilvl w:val="0"/>
          <w:numId w:val="12"/>
        </w:numPr>
        <w:jc w:val="both"/>
      </w:pPr>
      <w:r w:rsidRPr="00BD3157">
        <w:t>Promemorija/izvješće o pohađanoj obuci ili izvršenom studijskom putovanju</w:t>
      </w:r>
      <w:r>
        <w:t xml:space="preserve"> (obavezno mora sadržavati podatak je li policijski službenik putovao sam odnosno navesti imena ostalih policijskih službenika koji su putovali zajedno)</w:t>
      </w:r>
    </w:p>
    <w:p w:rsidR="00BC5C26" w:rsidRDefault="00BC5C26" w:rsidP="00BC5C26">
      <w:pPr>
        <w:pStyle w:val="Bezproreda"/>
        <w:numPr>
          <w:ilvl w:val="0"/>
          <w:numId w:val="12"/>
        </w:numPr>
        <w:jc w:val="both"/>
      </w:pPr>
      <w:r w:rsidRPr="00DE692F">
        <w:t xml:space="preserve">Certifikat/potvrdu o završenoj obuci, seminaru, edukaciji radionici ili ako se radi o studijskom </w:t>
      </w:r>
      <w:r>
        <w:t xml:space="preserve">  </w:t>
      </w:r>
      <w:r w:rsidRPr="00DE692F">
        <w:t>putovanju komunikacija (primjerice elektroničkom poštom) s domaćinima studijske posjete</w:t>
      </w:r>
    </w:p>
    <w:p w:rsidR="00BC5C26" w:rsidRDefault="00BC5C26" w:rsidP="00BC5C26">
      <w:pPr>
        <w:pStyle w:val="Bezproreda"/>
        <w:numPr>
          <w:ilvl w:val="0"/>
          <w:numId w:val="12"/>
        </w:numPr>
        <w:jc w:val="both"/>
      </w:pPr>
      <w:r w:rsidRPr="00DE692F">
        <w:t>Pozivno pismo (e-mail ili drugo)</w:t>
      </w:r>
    </w:p>
    <w:p w:rsidR="00BC5C26" w:rsidRDefault="00BC5C26" w:rsidP="00BC5C26">
      <w:pPr>
        <w:pStyle w:val="Bezproreda"/>
        <w:jc w:val="both"/>
      </w:pPr>
      <w:r>
        <w:t xml:space="preserve">Opravdani trošak goriva </w:t>
      </w:r>
      <w:r w:rsidRPr="00DC58EC">
        <w:t xml:space="preserve">= </w:t>
      </w:r>
      <w:r w:rsidRPr="00480057">
        <w:t>((</w:t>
      </w:r>
      <w:r w:rsidR="00480057" w:rsidRPr="00480057">
        <w:t>408,9</w:t>
      </w:r>
      <w:r w:rsidR="005778F2">
        <w:t>3</w:t>
      </w:r>
      <w:r w:rsidR="00480057" w:rsidRPr="00480057">
        <w:t xml:space="preserve"> + 411,00</w:t>
      </w:r>
      <w:r w:rsidR="00716040">
        <w:t>) x 0,</w:t>
      </w:r>
      <w:r w:rsidR="000B2181">
        <w:t>07</w:t>
      </w:r>
      <w:r w:rsidRPr="00480057">
        <w:t xml:space="preserve">) x </w:t>
      </w:r>
      <w:r w:rsidR="002C300E" w:rsidRPr="00480057">
        <w:t>1,4</w:t>
      </w:r>
      <w:r w:rsidR="00A72140">
        <w:t>2</w:t>
      </w:r>
    </w:p>
    <w:p w:rsidR="00DC58EC" w:rsidRPr="009F78F1" w:rsidRDefault="00DC58EC" w:rsidP="00BC5C26">
      <w:pPr>
        <w:pStyle w:val="Bezproreda"/>
        <w:jc w:val="both"/>
      </w:pPr>
    </w:p>
    <w:p w:rsidR="00BC5C26" w:rsidRPr="00690948" w:rsidRDefault="00BC5C26" w:rsidP="00BC5C26">
      <w:pPr>
        <w:pStyle w:val="Bezproreda"/>
        <w:numPr>
          <w:ilvl w:val="0"/>
          <w:numId w:val="1"/>
        </w:numPr>
        <w:jc w:val="both"/>
        <w:outlineLvl w:val="0"/>
        <w:rPr>
          <w:b/>
          <w:color w:val="000000" w:themeColor="text1"/>
          <w:sz w:val="24"/>
          <w:szCs w:val="28"/>
        </w:rPr>
      </w:pPr>
      <w:bookmarkStart w:id="15" w:name="_Toc192229242"/>
      <w:r w:rsidRPr="00690948">
        <w:rPr>
          <w:b/>
          <w:color w:val="000000" w:themeColor="text1"/>
          <w:sz w:val="24"/>
          <w:szCs w:val="28"/>
        </w:rPr>
        <w:t>Tablice</w:t>
      </w:r>
      <w:bookmarkEnd w:id="15"/>
    </w:p>
    <w:p w:rsidR="00BC5C26" w:rsidRDefault="00BC5C26" w:rsidP="00BC5C26">
      <w:pPr>
        <w:pStyle w:val="Bezproreda"/>
        <w:ind w:left="360"/>
        <w:jc w:val="both"/>
        <w:outlineLvl w:val="0"/>
        <w:rPr>
          <w:b/>
          <w:color w:val="FF0000"/>
        </w:rPr>
      </w:pPr>
    </w:p>
    <w:p w:rsidR="00BC5C26" w:rsidRDefault="00E75919" w:rsidP="00BC5C26">
      <w:pPr>
        <w:pStyle w:val="Bezproreda"/>
        <w:ind w:left="360"/>
        <w:jc w:val="both"/>
        <w:outlineLvl w:val="1"/>
        <w:rPr>
          <w:color w:val="000000" w:themeColor="text1"/>
        </w:rPr>
      </w:pPr>
      <w:bookmarkStart w:id="16" w:name="_Toc192229243"/>
      <w:r>
        <w:rPr>
          <w:b/>
          <w:color w:val="000000" w:themeColor="text1"/>
        </w:rPr>
        <w:t>7</w:t>
      </w:r>
      <w:r w:rsidR="00BC5C26" w:rsidRPr="00810137">
        <w:rPr>
          <w:b/>
          <w:color w:val="000000" w:themeColor="text1"/>
        </w:rPr>
        <w:t>.1. Tablica 1.</w:t>
      </w:r>
      <w:r w:rsidR="00BC5C26" w:rsidRPr="00810137">
        <w:rPr>
          <w:color w:val="000000" w:themeColor="text1"/>
        </w:rPr>
        <w:t xml:space="preserve"> </w:t>
      </w:r>
      <w:r w:rsidR="005778F2" w:rsidRPr="005778F2">
        <w:rPr>
          <w:color w:val="000000" w:themeColor="text1"/>
        </w:rPr>
        <w:t>Potrošnja goriva za vozila u voznom parku Ministarstva unutarnjih poslova za 2025. godinu (izvor: Ministarstvo unutarnjih poslova)</w:t>
      </w:r>
      <w:bookmarkEnd w:id="16"/>
    </w:p>
    <w:p w:rsidR="00BC5C26" w:rsidRPr="00810137" w:rsidRDefault="00BC5C26" w:rsidP="00BC5C26">
      <w:pPr>
        <w:pStyle w:val="Bezproreda"/>
        <w:ind w:left="360"/>
        <w:jc w:val="both"/>
        <w:outlineLvl w:val="1"/>
        <w:rPr>
          <w:color w:val="000000" w:themeColor="text1"/>
        </w:rPr>
      </w:pPr>
    </w:p>
    <w:p w:rsidR="00BC5C26" w:rsidRDefault="00E75919" w:rsidP="00BC5C26">
      <w:pPr>
        <w:pStyle w:val="Bezproreda"/>
        <w:ind w:left="360"/>
        <w:jc w:val="both"/>
        <w:outlineLvl w:val="1"/>
        <w:rPr>
          <w:color w:val="000000" w:themeColor="text1"/>
        </w:rPr>
      </w:pPr>
      <w:bookmarkStart w:id="17" w:name="_Toc192229244"/>
      <w:r>
        <w:rPr>
          <w:b/>
          <w:color w:val="000000" w:themeColor="text1"/>
        </w:rPr>
        <w:t>7</w:t>
      </w:r>
      <w:r w:rsidR="00BC5C26" w:rsidRPr="00810137">
        <w:rPr>
          <w:b/>
          <w:color w:val="000000" w:themeColor="text1"/>
        </w:rPr>
        <w:t>.2. Tablica 2.</w:t>
      </w:r>
      <w:r w:rsidR="00BC5C26" w:rsidRPr="00810137">
        <w:rPr>
          <w:color w:val="000000" w:themeColor="text1"/>
        </w:rPr>
        <w:t xml:space="preserve"> </w:t>
      </w:r>
      <w:bookmarkStart w:id="18" w:name="_Toc61869472"/>
      <w:r w:rsidR="005778F2" w:rsidRPr="005778F2">
        <w:rPr>
          <w:color w:val="000000" w:themeColor="text1"/>
        </w:rPr>
        <w:t>Prosječne cijene goriva svakog drugog utorka do 15. srpnja, a nadalje svakog utorka u 2025. godini (izvor: Ministarstvo gospodarstva)</w:t>
      </w:r>
      <w:bookmarkEnd w:id="18"/>
      <w:bookmarkEnd w:id="17"/>
    </w:p>
    <w:p w:rsidR="00BC5C26" w:rsidRDefault="00BC5C26" w:rsidP="00BC5C26">
      <w:pPr>
        <w:pStyle w:val="Bezproreda"/>
        <w:ind w:left="360"/>
        <w:jc w:val="both"/>
        <w:outlineLvl w:val="1"/>
        <w:rPr>
          <w:color w:val="000000" w:themeColor="text1"/>
        </w:rPr>
      </w:pPr>
    </w:p>
    <w:p w:rsidR="00BC5C26" w:rsidRPr="00690948" w:rsidRDefault="00BC5C26" w:rsidP="00BC5C26">
      <w:pPr>
        <w:pStyle w:val="Bezproreda"/>
        <w:numPr>
          <w:ilvl w:val="0"/>
          <w:numId w:val="1"/>
        </w:numPr>
        <w:jc w:val="both"/>
        <w:outlineLvl w:val="0"/>
        <w:rPr>
          <w:b/>
          <w:color w:val="000000" w:themeColor="text1"/>
          <w:sz w:val="24"/>
        </w:rPr>
      </w:pPr>
      <w:bookmarkStart w:id="19" w:name="_Toc192229245"/>
      <w:r w:rsidRPr="00690948">
        <w:rPr>
          <w:b/>
          <w:color w:val="000000" w:themeColor="text1"/>
          <w:sz w:val="24"/>
        </w:rPr>
        <w:t>Slike</w:t>
      </w:r>
      <w:bookmarkEnd w:id="19"/>
    </w:p>
    <w:p w:rsidR="00BC5C26" w:rsidRDefault="00BC5C26" w:rsidP="00BC5C26">
      <w:pPr>
        <w:pStyle w:val="Bezproreda"/>
        <w:ind w:left="720"/>
        <w:jc w:val="both"/>
        <w:outlineLvl w:val="0"/>
        <w:rPr>
          <w:b/>
          <w:color w:val="000000" w:themeColor="text1"/>
        </w:rPr>
      </w:pPr>
    </w:p>
    <w:p w:rsidR="00BC5C26" w:rsidRDefault="00E75919" w:rsidP="00BC5C26">
      <w:pPr>
        <w:pStyle w:val="Bezproreda"/>
        <w:ind w:firstLine="360"/>
        <w:jc w:val="both"/>
        <w:outlineLvl w:val="1"/>
        <w:rPr>
          <w:color w:val="000000" w:themeColor="text1"/>
        </w:rPr>
      </w:pPr>
      <w:bookmarkStart w:id="20" w:name="_Toc192229246"/>
      <w:r>
        <w:rPr>
          <w:b/>
          <w:color w:val="000000" w:themeColor="text1"/>
        </w:rPr>
        <w:t>8</w:t>
      </w:r>
      <w:r w:rsidR="00BC5C26">
        <w:rPr>
          <w:b/>
          <w:color w:val="000000" w:themeColor="text1"/>
        </w:rPr>
        <w:t xml:space="preserve">.1. </w:t>
      </w:r>
      <w:r w:rsidR="00BC5C26" w:rsidRPr="0050264D">
        <w:rPr>
          <w:b/>
          <w:color w:val="000000" w:themeColor="text1"/>
        </w:rPr>
        <w:t>Slika 1</w:t>
      </w:r>
      <w:r w:rsidR="003A2944">
        <w:rPr>
          <w:color w:val="000000" w:themeColor="text1"/>
        </w:rPr>
        <w:t>. Primjer ispunjen</w:t>
      </w:r>
      <w:r w:rsidR="00BC5C26" w:rsidRPr="0050264D">
        <w:rPr>
          <w:color w:val="000000" w:themeColor="text1"/>
        </w:rPr>
        <w:t>e Excel tablice – Izračun troškova goriva</w:t>
      </w:r>
      <w:bookmarkEnd w:id="20"/>
    </w:p>
    <w:p w:rsidR="00BC5C26" w:rsidRPr="0050264D" w:rsidRDefault="00E75919" w:rsidP="00BC5C26">
      <w:pPr>
        <w:pStyle w:val="Bezproreda"/>
        <w:ind w:firstLine="360"/>
        <w:jc w:val="both"/>
        <w:outlineLvl w:val="1"/>
        <w:rPr>
          <w:b/>
          <w:color w:val="000000" w:themeColor="text1"/>
        </w:rPr>
      </w:pPr>
      <w:bookmarkStart w:id="21" w:name="_Toc192229247"/>
      <w:r>
        <w:rPr>
          <w:b/>
          <w:color w:val="000000" w:themeColor="text1"/>
        </w:rPr>
        <w:t>8</w:t>
      </w:r>
      <w:r w:rsidR="00BC5C26" w:rsidRPr="0050264D">
        <w:rPr>
          <w:color w:val="000000" w:themeColor="text1"/>
        </w:rPr>
        <w:t>.</w:t>
      </w:r>
      <w:r w:rsidR="00BC5C26" w:rsidRPr="0050264D">
        <w:rPr>
          <w:b/>
          <w:color w:val="000000" w:themeColor="text1"/>
        </w:rPr>
        <w:t xml:space="preserve">2. Slika 2. </w:t>
      </w:r>
      <w:r w:rsidR="00BC5C26" w:rsidRPr="0050264D">
        <w:rPr>
          <w:color w:val="000000" w:themeColor="text1"/>
        </w:rPr>
        <w:t>Primjer ispunjenog zahtjeva za naknadu plaćenih troškova</w:t>
      </w:r>
      <w:bookmarkEnd w:id="21"/>
    </w:p>
    <w:p w:rsidR="00BC5C26" w:rsidRDefault="00E75919" w:rsidP="00BC5C26">
      <w:pPr>
        <w:pStyle w:val="Bezproreda"/>
        <w:ind w:left="360"/>
        <w:jc w:val="both"/>
        <w:outlineLvl w:val="1"/>
        <w:rPr>
          <w:color w:val="000000" w:themeColor="text1"/>
        </w:rPr>
      </w:pPr>
      <w:bookmarkStart w:id="22" w:name="_Toc192229248"/>
      <w:r>
        <w:rPr>
          <w:b/>
          <w:color w:val="000000" w:themeColor="text1"/>
        </w:rPr>
        <w:t>8</w:t>
      </w:r>
      <w:r w:rsidR="00BC5C26" w:rsidRPr="0050264D">
        <w:rPr>
          <w:b/>
          <w:color w:val="000000" w:themeColor="text1"/>
        </w:rPr>
        <w:t>.3.</w:t>
      </w:r>
      <w:r w:rsidR="00BC5C26">
        <w:rPr>
          <w:color w:val="000000" w:themeColor="text1"/>
        </w:rPr>
        <w:t xml:space="preserve"> </w:t>
      </w:r>
      <w:r w:rsidR="00BC5C26" w:rsidRPr="0050264D">
        <w:rPr>
          <w:b/>
          <w:color w:val="000000" w:themeColor="text1"/>
        </w:rPr>
        <w:t>Slika 3.</w:t>
      </w:r>
      <w:r w:rsidR="00BC5C26" w:rsidRPr="0050264D">
        <w:rPr>
          <w:color w:val="000000" w:themeColor="text1"/>
        </w:rPr>
        <w:t xml:space="preserve"> HAK karta Zagreb – Split</w:t>
      </w:r>
      <w:bookmarkEnd w:id="22"/>
      <w:r w:rsidR="00BC5C26" w:rsidRPr="0050264D">
        <w:rPr>
          <w:color w:val="000000" w:themeColor="text1"/>
        </w:rPr>
        <w:t xml:space="preserve">     </w:t>
      </w:r>
    </w:p>
    <w:p w:rsidR="00BC5C26" w:rsidRPr="0050264D" w:rsidRDefault="00E75919" w:rsidP="00BC5C26">
      <w:pPr>
        <w:pStyle w:val="Bezproreda"/>
        <w:ind w:left="360"/>
        <w:jc w:val="both"/>
        <w:outlineLvl w:val="1"/>
        <w:rPr>
          <w:b/>
          <w:color w:val="000000" w:themeColor="text1"/>
        </w:rPr>
      </w:pPr>
      <w:bookmarkStart w:id="23" w:name="_Toc192229249"/>
      <w:r>
        <w:rPr>
          <w:b/>
          <w:color w:val="000000" w:themeColor="text1"/>
        </w:rPr>
        <w:t>8</w:t>
      </w:r>
      <w:r w:rsidR="00BC5C26" w:rsidRPr="0050264D">
        <w:rPr>
          <w:b/>
          <w:color w:val="000000" w:themeColor="text1"/>
        </w:rPr>
        <w:t>.4.</w:t>
      </w:r>
      <w:r w:rsidR="00BC5C26">
        <w:rPr>
          <w:b/>
          <w:color w:val="000000" w:themeColor="text1"/>
        </w:rPr>
        <w:t xml:space="preserve"> Slika 4. </w:t>
      </w:r>
      <w:r w:rsidR="00BC5C26" w:rsidRPr="0050264D">
        <w:rPr>
          <w:color w:val="000000" w:themeColor="text1"/>
        </w:rPr>
        <w:t>HAK karta Split – Zagreb</w:t>
      </w:r>
      <w:bookmarkEnd w:id="23"/>
    </w:p>
    <w:p w:rsidR="00BC5C26" w:rsidRDefault="00BC5C26" w:rsidP="00BC5C26">
      <w:pPr>
        <w:pStyle w:val="Bezproreda"/>
        <w:ind w:left="720"/>
        <w:jc w:val="both"/>
        <w:outlineLvl w:val="0"/>
        <w:rPr>
          <w:b/>
          <w:color w:val="FF0000"/>
        </w:rPr>
      </w:pPr>
    </w:p>
    <w:p w:rsidR="00BC5C26" w:rsidRPr="00690948" w:rsidRDefault="00BC5C26" w:rsidP="00BC5C26">
      <w:pPr>
        <w:pStyle w:val="Bezproreda"/>
        <w:numPr>
          <w:ilvl w:val="0"/>
          <w:numId w:val="1"/>
        </w:numPr>
        <w:jc w:val="both"/>
        <w:outlineLvl w:val="0"/>
        <w:rPr>
          <w:b/>
          <w:color w:val="000000" w:themeColor="text1"/>
          <w:sz w:val="24"/>
          <w:szCs w:val="28"/>
        </w:rPr>
      </w:pPr>
      <w:bookmarkStart w:id="24" w:name="_Toc192229250"/>
      <w:r w:rsidRPr="00690948">
        <w:rPr>
          <w:b/>
          <w:color w:val="000000" w:themeColor="text1"/>
          <w:sz w:val="24"/>
          <w:szCs w:val="28"/>
        </w:rPr>
        <w:t>Prilozi</w:t>
      </w:r>
      <w:bookmarkEnd w:id="24"/>
    </w:p>
    <w:p w:rsidR="00BC5C26" w:rsidRPr="005076B1" w:rsidRDefault="00BC5C26" w:rsidP="00BC5C26">
      <w:pPr>
        <w:pStyle w:val="Bezproreda"/>
        <w:ind w:left="720"/>
        <w:jc w:val="both"/>
        <w:rPr>
          <w:b/>
          <w:color w:val="000000" w:themeColor="text1"/>
        </w:rPr>
      </w:pPr>
    </w:p>
    <w:p w:rsidR="00BC5C26" w:rsidRPr="005076B1" w:rsidRDefault="00BC5C26" w:rsidP="00BC5C26">
      <w:pPr>
        <w:pStyle w:val="Bezproreda"/>
        <w:ind w:firstLine="360"/>
        <w:jc w:val="both"/>
        <w:outlineLvl w:val="1"/>
        <w:rPr>
          <w:b/>
          <w:color w:val="000000" w:themeColor="text1"/>
        </w:rPr>
      </w:pPr>
      <w:bookmarkStart w:id="25" w:name="_Toc192229251"/>
      <w:r w:rsidRPr="005076B1">
        <w:rPr>
          <w:b/>
          <w:color w:val="000000" w:themeColor="text1"/>
        </w:rPr>
        <w:t>9.1.</w:t>
      </w:r>
      <w:r w:rsidRPr="005076B1">
        <w:rPr>
          <w:color w:val="000000" w:themeColor="text1"/>
        </w:rPr>
        <w:t xml:space="preserve"> </w:t>
      </w:r>
      <w:r w:rsidRPr="005076B1">
        <w:rPr>
          <w:b/>
          <w:color w:val="000000" w:themeColor="text1"/>
        </w:rPr>
        <w:t>Prilog 1</w:t>
      </w:r>
      <w:r w:rsidR="00254F2A">
        <w:rPr>
          <w:b/>
          <w:color w:val="000000" w:themeColor="text1"/>
        </w:rPr>
        <w:t>.</w:t>
      </w:r>
      <w:r w:rsidRPr="005076B1">
        <w:rPr>
          <w:b/>
          <w:color w:val="000000" w:themeColor="text1"/>
        </w:rPr>
        <w:t xml:space="preserve"> </w:t>
      </w:r>
      <w:r w:rsidRPr="00690948">
        <w:rPr>
          <w:i/>
          <w:color w:val="000000" w:themeColor="text1"/>
        </w:rPr>
        <w:t>Obrazac - Izračun troškova goriva</w:t>
      </w:r>
      <w:r w:rsidR="002C300E">
        <w:rPr>
          <w:i/>
          <w:color w:val="000000" w:themeColor="text1"/>
        </w:rPr>
        <w:t xml:space="preserve"> 1.</w:t>
      </w:r>
      <w:r w:rsidR="005778F2">
        <w:rPr>
          <w:i/>
          <w:color w:val="000000" w:themeColor="text1"/>
        </w:rPr>
        <w:t>3</w:t>
      </w:r>
      <w:r>
        <w:rPr>
          <w:i/>
          <w:color w:val="000000" w:themeColor="text1"/>
        </w:rPr>
        <w:t>.</w:t>
      </w:r>
      <w:bookmarkEnd w:id="25"/>
    </w:p>
    <w:p w:rsidR="00BC5C26" w:rsidRPr="00CC5973" w:rsidRDefault="00BC5C26" w:rsidP="00BC5C26">
      <w:pPr>
        <w:pStyle w:val="Bezproreda"/>
        <w:ind w:left="426"/>
        <w:jc w:val="both"/>
        <w:rPr>
          <w:color w:val="FF0000"/>
        </w:rPr>
      </w:pPr>
    </w:p>
    <w:p w:rsidR="00BC5C26" w:rsidRPr="00265741" w:rsidRDefault="00BC5C26" w:rsidP="00BC5C26">
      <w:pPr>
        <w:pStyle w:val="Bezproreda"/>
        <w:ind w:left="426"/>
        <w:jc w:val="both"/>
      </w:pPr>
    </w:p>
    <w:p w:rsidR="001670A5" w:rsidRDefault="001670A5"/>
    <w:sectPr w:rsidR="001670A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B2" w:rsidRDefault="008B1AB2">
      <w:pPr>
        <w:spacing w:after="0" w:line="240" w:lineRule="auto"/>
      </w:pPr>
      <w:r>
        <w:separator/>
      </w:r>
    </w:p>
  </w:endnote>
  <w:endnote w:type="continuationSeparator" w:id="0">
    <w:p w:rsidR="008B1AB2" w:rsidRDefault="008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06032"/>
      <w:docPartObj>
        <w:docPartGallery w:val="Page Numbers (Bottom of Page)"/>
        <w:docPartUnique/>
      </w:docPartObj>
    </w:sdtPr>
    <w:sdtEndPr/>
    <w:sdtContent>
      <w:p w:rsidR="008B1AB2" w:rsidRDefault="008B1AB2">
        <w:pPr>
          <w:pStyle w:val="Podnoje"/>
          <w:jc w:val="center"/>
        </w:pPr>
        <w:r>
          <w:fldChar w:fldCharType="begin"/>
        </w:r>
        <w:r>
          <w:instrText>PAGE   \* MERGEFORMAT</w:instrText>
        </w:r>
        <w:r>
          <w:fldChar w:fldCharType="separate"/>
        </w:r>
        <w:r w:rsidR="0074533A">
          <w:rPr>
            <w:noProof/>
          </w:rPr>
          <w:t>10</w:t>
        </w:r>
        <w:r>
          <w:fldChar w:fldCharType="end"/>
        </w:r>
      </w:p>
    </w:sdtContent>
  </w:sdt>
  <w:p w:rsidR="008B1AB2" w:rsidRDefault="008B1A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B2" w:rsidRDefault="008B1AB2">
      <w:pPr>
        <w:spacing w:after="0" w:line="240" w:lineRule="auto"/>
      </w:pPr>
      <w:r>
        <w:separator/>
      </w:r>
    </w:p>
  </w:footnote>
  <w:footnote w:type="continuationSeparator" w:id="0">
    <w:p w:rsidR="008B1AB2" w:rsidRDefault="008B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BE9"/>
    <w:multiLevelType w:val="hybridMultilevel"/>
    <w:tmpl w:val="17A8CD7E"/>
    <w:lvl w:ilvl="0" w:tplc="D616873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7B747B"/>
    <w:multiLevelType w:val="multilevel"/>
    <w:tmpl w:val="B96017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FA6CDE"/>
    <w:multiLevelType w:val="hybridMultilevel"/>
    <w:tmpl w:val="9CEEBD06"/>
    <w:lvl w:ilvl="0" w:tplc="65529B94">
      <w:start w:val="4"/>
      <w:numFmt w:val="bullet"/>
      <w:lvlText w:val="-"/>
      <w:lvlJc w:val="left"/>
      <w:pPr>
        <w:ind w:left="720" w:hanging="360"/>
      </w:pPr>
      <w:rPr>
        <w:rFonts w:ascii="Calibri" w:eastAsiaTheme="minorHAns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BE6998"/>
    <w:multiLevelType w:val="hybridMultilevel"/>
    <w:tmpl w:val="0EE00D66"/>
    <w:lvl w:ilvl="0" w:tplc="DAC699C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15F12B2"/>
    <w:multiLevelType w:val="hybridMultilevel"/>
    <w:tmpl w:val="BD76EDF2"/>
    <w:lvl w:ilvl="0" w:tplc="44C22698">
      <w:start w:val="2"/>
      <w:numFmt w:val="decimal"/>
      <w:lvlText w:val="%1."/>
      <w:lvlJc w:val="left"/>
      <w:pPr>
        <w:ind w:left="108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4C1697"/>
    <w:multiLevelType w:val="hybridMultilevel"/>
    <w:tmpl w:val="B53091DA"/>
    <w:lvl w:ilvl="0" w:tplc="65529B94">
      <w:start w:val="4"/>
      <w:numFmt w:val="bullet"/>
      <w:lvlText w:val="-"/>
      <w:lvlJc w:val="left"/>
      <w:pPr>
        <w:ind w:left="720" w:hanging="360"/>
      </w:pPr>
      <w:rPr>
        <w:rFonts w:ascii="Calibri" w:eastAsiaTheme="minorHAns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DB726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830EE"/>
    <w:multiLevelType w:val="multilevel"/>
    <w:tmpl w:val="BC78B8DA"/>
    <w:lvl w:ilvl="0">
      <w:start w:val="1"/>
      <w:numFmt w:val="decimal"/>
      <w:lvlText w:val="%1."/>
      <w:lvlJc w:val="left"/>
      <w:pPr>
        <w:ind w:left="720" w:hanging="360"/>
      </w:pPr>
      <w:rPr>
        <w:rFonts w:hint="default"/>
      </w:rPr>
    </w:lvl>
    <w:lvl w:ilvl="1">
      <w:start w:val="1"/>
      <w:numFmt w:val="decimal"/>
      <w:isLgl/>
      <w:lvlText w:val="%1.%2."/>
      <w:lvlJc w:val="left"/>
      <w:pPr>
        <w:ind w:left="1776" w:hanging="1068"/>
      </w:pPr>
      <w:rPr>
        <w:rFonts w:hint="default"/>
      </w:rPr>
    </w:lvl>
    <w:lvl w:ilvl="2">
      <w:start w:val="1"/>
      <w:numFmt w:val="decimal"/>
      <w:isLgl/>
      <w:lvlText w:val="%1.%2.%3."/>
      <w:lvlJc w:val="left"/>
      <w:pPr>
        <w:ind w:left="2484" w:hanging="1428"/>
      </w:pPr>
      <w:rPr>
        <w:rFonts w:hint="default"/>
      </w:rPr>
    </w:lvl>
    <w:lvl w:ilvl="3">
      <w:start w:val="1"/>
      <w:numFmt w:val="decimal"/>
      <w:isLgl/>
      <w:lvlText w:val="%1.%2.%3.%4."/>
      <w:lvlJc w:val="left"/>
      <w:pPr>
        <w:ind w:left="2832" w:hanging="1428"/>
      </w:pPr>
      <w:rPr>
        <w:rFonts w:hint="default"/>
      </w:rPr>
    </w:lvl>
    <w:lvl w:ilvl="4">
      <w:start w:val="1"/>
      <w:numFmt w:val="decimal"/>
      <w:isLgl/>
      <w:lvlText w:val="%1.%2.%3.%4.%5."/>
      <w:lvlJc w:val="left"/>
      <w:pPr>
        <w:ind w:left="3540" w:hanging="1788"/>
      </w:pPr>
      <w:rPr>
        <w:rFonts w:hint="default"/>
      </w:rPr>
    </w:lvl>
    <w:lvl w:ilvl="5">
      <w:start w:val="1"/>
      <w:numFmt w:val="decimal"/>
      <w:isLgl/>
      <w:lvlText w:val="%1.%2.%3.%4.%5.%6."/>
      <w:lvlJc w:val="left"/>
      <w:pPr>
        <w:ind w:left="3888" w:hanging="1788"/>
      </w:pPr>
      <w:rPr>
        <w:rFonts w:hint="default"/>
      </w:rPr>
    </w:lvl>
    <w:lvl w:ilvl="6">
      <w:start w:val="1"/>
      <w:numFmt w:val="decimal"/>
      <w:isLgl/>
      <w:lvlText w:val="%1.%2.%3.%4.%5.%6.%7."/>
      <w:lvlJc w:val="left"/>
      <w:pPr>
        <w:ind w:left="4596" w:hanging="2148"/>
      </w:pPr>
      <w:rPr>
        <w:rFonts w:hint="default"/>
      </w:rPr>
    </w:lvl>
    <w:lvl w:ilvl="7">
      <w:start w:val="1"/>
      <w:numFmt w:val="decimal"/>
      <w:isLgl/>
      <w:lvlText w:val="%1.%2.%3.%4.%5.%6.%7.%8."/>
      <w:lvlJc w:val="left"/>
      <w:pPr>
        <w:ind w:left="4944" w:hanging="2148"/>
      </w:pPr>
      <w:rPr>
        <w:rFonts w:hint="default"/>
      </w:rPr>
    </w:lvl>
    <w:lvl w:ilvl="8">
      <w:start w:val="1"/>
      <w:numFmt w:val="decimal"/>
      <w:isLgl/>
      <w:lvlText w:val="%1.%2.%3.%4.%5.%6.%7.%8.%9."/>
      <w:lvlJc w:val="left"/>
      <w:pPr>
        <w:ind w:left="5652" w:hanging="2508"/>
      </w:pPr>
      <w:rPr>
        <w:rFonts w:hint="default"/>
      </w:rPr>
    </w:lvl>
  </w:abstractNum>
  <w:abstractNum w:abstractNumId="8" w15:restartNumberingAfterBreak="0">
    <w:nsid w:val="2E7159DB"/>
    <w:multiLevelType w:val="hybridMultilevel"/>
    <w:tmpl w:val="BA16621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F434700"/>
    <w:multiLevelType w:val="hybridMultilevel"/>
    <w:tmpl w:val="F9420BB4"/>
    <w:lvl w:ilvl="0" w:tplc="041A0017">
      <w:start w:val="1"/>
      <w:numFmt w:val="lowerLetter"/>
      <w:lvlText w:val="%1)"/>
      <w:lvlJc w:val="left"/>
      <w:pPr>
        <w:ind w:left="2062" w:hanging="360"/>
      </w:p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0" w15:restartNumberingAfterBreak="0">
    <w:nsid w:val="3FF02510"/>
    <w:multiLevelType w:val="hybridMultilevel"/>
    <w:tmpl w:val="3D847268"/>
    <w:lvl w:ilvl="0" w:tplc="0DE2E14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5B4E16"/>
    <w:multiLevelType w:val="hybridMultilevel"/>
    <w:tmpl w:val="D1EA83DC"/>
    <w:lvl w:ilvl="0" w:tplc="65529B94">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6F0254"/>
    <w:multiLevelType w:val="hybridMultilevel"/>
    <w:tmpl w:val="FCE2F072"/>
    <w:lvl w:ilvl="0" w:tplc="D616873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6996369"/>
    <w:multiLevelType w:val="hybridMultilevel"/>
    <w:tmpl w:val="EB28019A"/>
    <w:lvl w:ilvl="0" w:tplc="041A000F">
      <w:start w:val="1"/>
      <w:numFmt w:val="decimal"/>
      <w:lvlText w:val="%1."/>
      <w:lvlJc w:val="left"/>
      <w:pPr>
        <w:ind w:left="214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59C47FC2"/>
    <w:multiLevelType w:val="hybridMultilevel"/>
    <w:tmpl w:val="1824964E"/>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5" w15:restartNumberingAfterBreak="0">
    <w:nsid w:val="61066765"/>
    <w:multiLevelType w:val="hybridMultilevel"/>
    <w:tmpl w:val="923A2A28"/>
    <w:lvl w:ilvl="0" w:tplc="0DE2E14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5E7090"/>
    <w:multiLevelType w:val="hybridMultilevel"/>
    <w:tmpl w:val="536A6E16"/>
    <w:lvl w:ilvl="0" w:tplc="041A001B">
      <w:start w:val="1"/>
      <w:numFmt w:val="lowerRoman"/>
      <w:lvlText w:val="%1."/>
      <w:lvlJc w:val="right"/>
      <w:pPr>
        <w:ind w:left="1080" w:hanging="360"/>
      </w:pPr>
    </w:lvl>
    <w:lvl w:ilvl="1" w:tplc="041A0019" w:tentative="1">
      <w:start w:val="1"/>
      <w:numFmt w:val="lowerLetter"/>
      <w:lvlText w:val="%2."/>
      <w:lvlJc w:val="left"/>
      <w:pPr>
        <w:ind w:left="1800" w:hanging="360"/>
      </w:pPr>
    </w:lvl>
    <w:lvl w:ilvl="2" w:tplc="041A0017">
      <w:start w:val="1"/>
      <w:numFmt w:val="lowerLetter"/>
      <w:lvlText w:val="%3)"/>
      <w:lvlJc w:val="lef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746F0A22"/>
    <w:multiLevelType w:val="hybridMultilevel"/>
    <w:tmpl w:val="A1C69BAA"/>
    <w:lvl w:ilvl="0" w:tplc="041A001B">
      <w:start w:val="1"/>
      <w:numFmt w:val="lowerRoman"/>
      <w:lvlText w:val="%1."/>
      <w:lvlJc w:val="right"/>
      <w:pPr>
        <w:ind w:left="1080" w:hanging="360"/>
      </w:pPr>
    </w:lvl>
    <w:lvl w:ilvl="1" w:tplc="041A0019" w:tentative="1">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768178DD"/>
    <w:multiLevelType w:val="hybridMultilevel"/>
    <w:tmpl w:val="344A71A6"/>
    <w:lvl w:ilvl="0" w:tplc="847884E8">
      <w:start w:val="18"/>
      <w:numFmt w:val="lowerLetter"/>
      <w:lvlText w:val="%1)"/>
      <w:lvlJc w:val="left"/>
      <w:pPr>
        <w:ind w:left="1222" w:hanging="360"/>
      </w:pPr>
      <w:rPr>
        <w:rFonts w:hint="default"/>
        <w:i w:val="0"/>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9" w15:restartNumberingAfterBreak="0">
    <w:nsid w:val="7EE2684E"/>
    <w:multiLevelType w:val="hybridMultilevel"/>
    <w:tmpl w:val="2AF4514A"/>
    <w:lvl w:ilvl="0" w:tplc="DBC4A1C2">
      <w:start w:val="1"/>
      <w:numFmt w:val="decimal"/>
      <w:lvlText w:val="%1."/>
      <w:lvlJc w:val="left"/>
      <w:pPr>
        <w:ind w:left="720" w:hanging="360"/>
      </w:pPr>
      <w:rPr>
        <w:rFonts w:hint="default"/>
        <w:b/>
      </w:rPr>
    </w:lvl>
    <w:lvl w:ilvl="1" w:tplc="EC8C3572">
      <w:start w:val="1"/>
      <w:numFmt w:val="lowerLetter"/>
      <w:lvlText w:val="%2)"/>
      <w:lvlJc w:val="left"/>
      <w:pPr>
        <w:ind w:left="1638" w:hanging="558"/>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DA170C"/>
    <w:multiLevelType w:val="hybridMultilevel"/>
    <w:tmpl w:val="4992FB38"/>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20"/>
  </w:num>
  <w:num w:numId="5">
    <w:abstractNumId w:val="19"/>
  </w:num>
  <w:num w:numId="6">
    <w:abstractNumId w:val="9"/>
  </w:num>
  <w:num w:numId="7">
    <w:abstractNumId w:val="17"/>
  </w:num>
  <w:num w:numId="8">
    <w:abstractNumId w:val="16"/>
  </w:num>
  <w:num w:numId="9">
    <w:abstractNumId w:val="12"/>
  </w:num>
  <w:num w:numId="10">
    <w:abstractNumId w:val="0"/>
  </w:num>
  <w:num w:numId="11">
    <w:abstractNumId w:val="3"/>
  </w:num>
  <w:num w:numId="12">
    <w:abstractNumId w:val="11"/>
  </w:num>
  <w:num w:numId="13">
    <w:abstractNumId w:val="7"/>
  </w:num>
  <w:num w:numId="14">
    <w:abstractNumId w:val="14"/>
  </w:num>
  <w:num w:numId="15">
    <w:abstractNumId w:val="8"/>
  </w:num>
  <w:num w:numId="16">
    <w:abstractNumId w:val="4"/>
  </w:num>
  <w:num w:numId="17">
    <w:abstractNumId w:val="18"/>
  </w:num>
  <w:num w:numId="18">
    <w:abstractNumId w:val="13"/>
  </w:num>
  <w:num w:numId="19">
    <w:abstractNumId w:val="1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26"/>
    <w:rsid w:val="00024C0B"/>
    <w:rsid w:val="000266A5"/>
    <w:rsid w:val="000523AB"/>
    <w:rsid w:val="000541D0"/>
    <w:rsid w:val="00080690"/>
    <w:rsid w:val="000917CE"/>
    <w:rsid w:val="00096F8F"/>
    <w:rsid w:val="000A1F75"/>
    <w:rsid w:val="000B2181"/>
    <w:rsid w:val="000B2202"/>
    <w:rsid w:val="000B6B5A"/>
    <w:rsid w:val="000D43DB"/>
    <w:rsid w:val="000F3378"/>
    <w:rsid w:val="001026D8"/>
    <w:rsid w:val="00116985"/>
    <w:rsid w:val="00145315"/>
    <w:rsid w:val="00166BDE"/>
    <w:rsid w:val="001670A5"/>
    <w:rsid w:val="0018000A"/>
    <w:rsid w:val="001C2E4C"/>
    <w:rsid w:val="001F4713"/>
    <w:rsid w:val="0020006B"/>
    <w:rsid w:val="0020147E"/>
    <w:rsid w:val="00243166"/>
    <w:rsid w:val="0025467D"/>
    <w:rsid w:val="00254F2A"/>
    <w:rsid w:val="00294988"/>
    <w:rsid w:val="002C300E"/>
    <w:rsid w:val="002D5BB4"/>
    <w:rsid w:val="003212E5"/>
    <w:rsid w:val="00344F4E"/>
    <w:rsid w:val="003A2944"/>
    <w:rsid w:val="003D71C9"/>
    <w:rsid w:val="00462735"/>
    <w:rsid w:val="00480057"/>
    <w:rsid w:val="00495448"/>
    <w:rsid w:val="004D6A05"/>
    <w:rsid w:val="005138CC"/>
    <w:rsid w:val="00515B3F"/>
    <w:rsid w:val="00530E33"/>
    <w:rsid w:val="00534AE2"/>
    <w:rsid w:val="00555DE3"/>
    <w:rsid w:val="00571014"/>
    <w:rsid w:val="005778F2"/>
    <w:rsid w:val="005E1DB8"/>
    <w:rsid w:val="006242B9"/>
    <w:rsid w:val="00651C78"/>
    <w:rsid w:val="006623E9"/>
    <w:rsid w:val="006873B0"/>
    <w:rsid w:val="006A7AF8"/>
    <w:rsid w:val="006C05EE"/>
    <w:rsid w:val="00716040"/>
    <w:rsid w:val="00726601"/>
    <w:rsid w:val="0074533A"/>
    <w:rsid w:val="007A3369"/>
    <w:rsid w:val="00834B10"/>
    <w:rsid w:val="00873295"/>
    <w:rsid w:val="008B1AB2"/>
    <w:rsid w:val="008B246D"/>
    <w:rsid w:val="008C1C6A"/>
    <w:rsid w:val="008C29EE"/>
    <w:rsid w:val="008E2468"/>
    <w:rsid w:val="008F07D5"/>
    <w:rsid w:val="0090487B"/>
    <w:rsid w:val="0091374B"/>
    <w:rsid w:val="009C4B73"/>
    <w:rsid w:val="009D2310"/>
    <w:rsid w:val="009F78F1"/>
    <w:rsid w:val="00A06234"/>
    <w:rsid w:val="00A367EB"/>
    <w:rsid w:val="00A40D7D"/>
    <w:rsid w:val="00A72140"/>
    <w:rsid w:val="00A729EE"/>
    <w:rsid w:val="00AD5792"/>
    <w:rsid w:val="00B13958"/>
    <w:rsid w:val="00B27375"/>
    <w:rsid w:val="00B558CC"/>
    <w:rsid w:val="00B91853"/>
    <w:rsid w:val="00B95263"/>
    <w:rsid w:val="00BB2D66"/>
    <w:rsid w:val="00BC5C26"/>
    <w:rsid w:val="00BC6AEB"/>
    <w:rsid w:val="00BD4F4D"/>
    <w:rsid w:val="00C146E7"/>
    <w:rsid w:val="00C83B27"/>
    <w:rsid w:val="00C84120"/>
    <w:rsid w:val="00C91339"/>
    <w:rsid w:val="00CA2D8A"/>
    <w:rsid w:val="00CB3C3A"/>
    <w:rsid w:val="00CC0FE1"/>
    <w:rsid w:val="00D46669"/>
    <w:rsid w:val="00D65E67"/>
    <w:rsid w:val="00DC58EC"/>
    <w:rsid w:val="00E20032"/>
    <w:rsid w:val="00E353D7"/>
    <w:rsid w:val="00E75919"/>
    <w:rsid w:val="00E7788B"/>
    <w:rsid w:val="00E954A0"/>
    <w:rsid w:val="00ED38A4"/>
    <w:rsid w:val="00F1204F"/>
    <w:rsid w:val="00F147B6"/>
    <w:rsid w:val="00F54B87"/>
    <w:rsid w:val="00F56510"/>
    <w:rsid w:val="00F62295"/>
    <w:rsid w:val="00F719F1"/>
    <w:rsid w:val="00F942CA"/>
    <w:rsid w:val="00FA67D6"/>
    <w:rsid w:val="00FD6A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0869"/>
  <w15:chartTrackingRefBased/>
  <w15:docId w15:val="{5DBC2FD8-BB53-4440-B787-0B79364D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C26"/>
  </w:style>
  <w:style w:type="paragraph" w:styleId="Naslov1">
    <w:name w:val="heading 1"/>
    <w:basedOn w:val="Normal"/>
    <w:next w:val="Normal"/>
    <w:link w:val="Naslov1Char"/>
    <w:uiPriority w:val="9"/>
    <w:qFormat/>
    <w:rsid w:val="00BC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C5C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C5C26"/>
  </w:style>
  <w:style w:type="paragraph" w:styleId="Podnoje">
    <w:name w:val="footer"/>
    <w:basedOn w:val="Normal"/>
    <w:link w:val="PodnojeChar"/>
    <w:uiPriority w:val="99"/>
    <w:unhideWhenUsed/>
    <w:rsid w:val="00BC5C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C5C26"/>
  </w:style>
  <w:style w:type="paragraph" w:styleId="Odlomakpopisa">
    <w:name w:val="List Paragraph"/>
    <w:basedOn w:val="Normal"/>
    <w:uiPriority w:val="34"/>
    <w:qFormat/>
    <w:rsid w:val="00BC5C26"/>
    <w:pPr>
      <w:ind w:left="720"/>
      <w:contextualSpacing/>
    </w:pPr>
  </w:style>
  <w:style w:type="paragraph" w:styleId="Bezproreda">
    <w:name w:val="No Spacing"/>
    <w:uiPriority w:val="1"/>
    <w:qFormat/>
    <w:rsid w:val="00BC5C26"/>
    <w:pPr>
      <w:spacing w:after="0" w:line="240" w:lineRule="auto"/>
    </w:pPr>
  </w:style>
  <w:style w:type="character" w:customStyle="1" w:styleId="Naslov1Char">
    <w:name w:val="Naslov 1 Char"/>
    <w:basedOn w:val="Zadanifontodlomka"/>
    <w:link w:val="Naslov1"/>
    <w:uiPriority w:val="9"/>
    <w:rsid w:val="00BC5C26"/>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BC5C26"/>
    <w:pPr>
      <w:outlineLvl w:val="9"/>
    </w:pPr>
    <w:rPr>
      <w:lang w:eastAsia="hr-HR"/>
    </w:rPr>
  </w:style>
  <w:style w:type="paragraph" w:styleId="Sadraj1">
    <w:name w:val="toc 1"/>
    <w:basedOn w:val="Normal"/>
    <w:next w:val="Normal"/>
    <w:autoRedefine/>
    <w:uiPriority w:val="39"/>
    <w:unhideWhenUsed/>
    <w:rsid w:val="00BC5C26"/>
    <w:pPr>
      <w:spacing w:after="100"/>
    </w:pPr>
  </w:style>
  <w:style w:type="paragraph" w:styleId="Sadraj2">
    <w:name w:val="toc 2"/>
    <w:basedOn w:val="Normal"/>
    <w:next w:val="Normal"/>
    <w:autoRedefine/>
    <w:uiPriority w:val="39"/>
    <w:unhideWhenUsed/>
    <w:rsid w:val="00BC5C26"/>
    <w:pPr>
      <w:spacing w:after="100"/>
      <w:ind w:left="220"/>
    </w:pPr>
  </w:style>
  <w:style w:type="character" w:styleId="Hiperveza">
    <w:name w:val="Hyperlink"/>
    <w:basedOn w:val="Zadanifontodlomka"/>
    <w:uiPriority w:val="99"/>
    <w:unhideWhenUsed/>
    <w:rsid w:val="00BC5C26"/>
    <w:rPr>
      <w:color w:val="0563C1" w:themeColor="hyperlink"/>
      <w:u w:val="single"/>
    </w:rPr>
  </w:style>
  <w:style w:type="paragraph" w:styleId="Tekstbalonia">
    <w:name w:val="Balloon Text"/>
    <w:basedOn w:val="Normal"/>
    <w:link w:val="TekstbaloniaChar"/>
    <w:uiPriority w:val="99"/>
    <w:semiHidden/>
    <w:unhideWhenUsed/>
    <w:rsid w:val="00FA67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A67D6"/>
    <w:rPr>
      <w:rFonts w:ascii="Segoe UI" w:hAnsi="Segoe UI" w:cs="Segoe UI"/>
      <w:sz w:val="18"/>
      <w:szCs w:val="18"/>
    </w:rPr>
  </w:style>
  <w:style w:type="paragraph" w:styleId="Revizija">
    <w:name w:val="Revision"/>
    <w:hidden/>
    <w:uiPriority w:val="99"/>
    <w:semiHidden/>
    <w:rsid w:val="00FA67D6"/>
    <w:pPr>
      <w:spacing w:after="0" w:line="240" w:lineRule="auto"/>
    </w:pPr>
  </w:style>
  <w:style w:type="character" w:styleId="Referencakomentara">
    <w:name w:val="annotation reference"/>
    <w:basedOn w:val="Zadanifontodlomka"/>
    <w:uiPriority w:val="99"/>
    <w:semiHidden/>
    <w:unhideWhenUsed/>
    <w:rsid w:val="00A72140"/>
    <w:rPr>
      <w:sz w:val="16"/>
      <w:szCs w:val="16"/>
    </w:rPr>
  </w:style>
  <w:style w:type="paragraph" w:styleId="Tekstkomentara">
    <w:name w:val="annotation text"/>
    <w:basedOn w:val="Normal"/>
    <w:link w:val="TekstkomentaraChar"/>
    <w:uiPriority w:val="99"/>
    <w:semiHidden/>
    <w:unhideWhenUsed/>
    <w:rsid w:val="00A72140"/>
    <w:pPr>
      <w:spacing w:line="240" w:lineRule="auto"/>
    </w:pPr>
    <w:rPr>
      <w:sz w:val="20"/>
      <w:szCs w:val="20"/>
    </w:rPr>
  </w:style>
  <w:style w:type="character" w:customStyle="1" w:styleId="TekstkomentaraChar">
    <w:name w:val="Tekst komentara Char"/>
    <w:basedOn w:val="Zadanifontodlomka"/>
    <w:link w:val="Tekstkomentara"/>
    <w:uiPriority w:val="99"/>
    <w:semiHidden/>
    <w:rsid w:val="00A72140"/>
    <w:rPr>
      <w:sz w:val="20"/>
      <w:szCs w:val="20"/>
    </w:rPr>
  </w:style>
  <w:style w:type="paragraph" w:styleId="Predmetkomentara">
    <w:name w:val="annotation subject"/>
    <w:basedOn w:val="Tekstkomentara"/>
    <w:next w:val="Tekstkomentara"/>
    <w:link w:val="PredmetkomentaraChar"/>
    <w:uiPriority w:val="99"/>
    <w:semiHidden/>
    <w:unhideWhenUsed/>
    <w:rsid w:val="00A72140"/>
    <w:rPr>
      <w:b/>
      <w:bCs/>
    </w:rPr>
  </w:style>
  <w:style w:type="character" w:customStyle="1" w:styleId="PredmetkomentaraChar">
    <w:name w:val="Predmet komentara Char"/>
    <w:basedOn w:val="TekstkomentaraChar"/>
    <w:link w:val="Predmetkomentara"/>
    <w:uiPriority w:val="99"/>
    <w:semiHidden/>
    <w:rsid w:val="00A721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283704">
      <w:bodyDiv w:val="1"/>
      <w:marLeft w:val="0"/>
      <w:marRight w:val="0"/>
      <w:marTop w:val="0"/>
      <w:marBottom w:val="0"/>
      <w:divBdr>
        <w:top w:val="none" w:sz="0" w:space="0" w:color="auto"/>
        <w:left w:val="none" w:sz="0" w:space="0" w:color="auto"/>
        <w:bottom w:val="none" w:sz="0" w:space="0" w:color="auto"/>
        <w:right w:val="none" w:sz="0" w:space="0" w:color="auto"/>
      </w:divBdr>
    </w:div>
    <w:div w:id="1476530197">
      <w:bodyDiv w:val="1"/>
      <w:marLeft w:val="0"/>
      <w:marRight w:val="0"/>
      <w:marTop w:val="0"/>
      <w:marBottom w:val="0"/>
      <w:divBdr>
        <w:top w:val="none" w:sz="0" w:space="0" w:color="auto"/>
        <w:left w:val="none" w:sz="0" w:space="0" w:color="auto"/>
        <w:bottom w:val="none" w:sz="0" w:space="0" w:color="auto"/>
        <w:right w:val="none" w:sz="0" w:space="0" w:color="auto"/>
      </w:divBdr>
    </w:div>
    <w:div w:id="17705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04E4-5170-4045-8F35-BB81EA41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2644</Words>
  <Characters>15071</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Zoković-Paić Katarina</dc:creator>
  <cp:keywords/>
  <dc:description/>
  <cp:lastModifiedBy>UT</cp:lastModifiedBy>
  <cp:revision>3</cp:revision>
  <dcterms:created xsi:type="dcterms:W3CDTF">2026-02-11T09:23:00Z</dcterms:created>
  <dcterms:modified xsi:type="dcterms:W3CDTF">2026-02-11T09:24:00Z</dcterms:modified>
</cp:coreProperties>
</file>